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footer1.xml" ContentType="application/vnd.openxmlformats-officedocument.wordprocessingml.footer+xml"/>
  <Override PartName="/word/footer12.xml" ContentType="application/vnd.openxmlformats-officedocument.wordprocessingml.footer+xml"/>
  <Override PartName="/word/styles.xml" ContentType="application/vnd.openxmlformats-officedocument.wordprocessingml.styles+xml"/>
  <Override PartName="/word/footer21.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media/image12.wmf" ContentType="image/x-wmf"/>
  <Override PartName="/word/media/image1.png" ContentType="image/png"/>
  <Override PartName="/word/media/image8.wmf" ContentType="image/x-wmf"/>
  <Override PartName="/word/media/image2.jpeg" ContentType="image/jpeg"/>
  <Override PartName="/word/media/image7.wmf" ContentType="image/x-wmf"/>
  <Override PartName="/word/media/image14.wmf" ContentType="image/x-wmf"/>
  <Override PartName="/word/media/image3.png" ContentType="image/png"/>
  <Override PartName="/word/media/image4.wmf" ContentType="image/x-wmf"/>
  <Override PartName="/word/media/image5.wmf" ContentType="image/x-wmf"/>
  <Override PartName="/word/media/image6.wmf" ContentType="image/x-wmf"/>
  <Override PartName="/word/media/image9.wmf" ContentType="image/x-wmf"/>
  <Override PartName="/word/media/image10.wmf" ContentType="image/x-wmf"/>
  <Override PartName="/word/media/image11.wmf" ContentType="image/x-wmf"/>
  <Override PartName="/word/media/image13.wmf" ContentType="image/x-wmf"/>
  <Override PartName="/word/media/image15.wmf" ContentType="image/x-wmf"/>
  <Override PartName="/word/media/image16.wmf" ContentType="image/x-wmf"/>
  <Override PartName="/word/media/image17.wmf" ContentType="image/x-wmf"/>
  <Override PartName="/word/media/image18.wmf" ContentType="image/x-wmf"/>
  <Override PartName="/word/media/image19.wmf" ContentType="image/x-wmf"/>
  <Override PartName="/word/media/image20.wmf" ContentType="image/x-wmf"/>
  <Override PartName="/word/media/image21.wmf" ContentType="image/x-wmf"/>
  <Override PartName="/word/media/image22.png" ContentType="image/png"/>
  <Override PartName="/word/media/image34.wmf" ContentType="image/x-wmf"/>
  <Override PartName="/word/media/image23.wmf" ContentType="image/x-wmf"/>
  <Override PartName="/word/media/image24.png" ContentType="image/png"/>
  <Override PartName="/word/media/image36.wmf" ContentType="image/x-wmf"/>
  <Override PartName="/word/media/image25.wmf" ContentType="image/x-wmf"/>
  <Override PartName="/word/media/image26.png" ContentType="image/png"/>
  <Override PartName="/word/media/image38.wmf" ContentType="image/x-wmf"/>
  <Override PartName="/word/media/image27.wmf" ContentType="image/x-wmf"/>
  <Override PartName="/word/media/image28.wmf" ContentType="image/x-wmf"/>
  <Override PartName="/word/media/image29.wmf" ContentType="image/x-wmf"/>
  <Override PartName="/word/media/image30.wmf" ContentType="image/x-wmf"/>
  <Override PartName="/word/media/image31.wmf" ContentType="image/x-wmf"/>
  <Override PartName="/word/media/image32.wmf" ContentType="image/x-wmf"/>
  <Override PartName="/word/media/image33.wmf" ContentType="image/x-wmf"/>
  <Override PartName="/word/media/image35.wmf" ContentType="image/x-wmf"/>
  <Override PartName="/word/media/image37.wmf" ContentType="image/x-wmf"/>
  <Override PartName="/word/footer16.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22.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23.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24.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25.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26.xml" ContentType="application/vnd.openxmlformats-officedocument.wordprocessingml.footer+xml"/>
  <Override PartName="/word/header8.xml" ContentType="application/vnd.openxmlformats-officedocument.wordprocessingml.header+xml"/>
  <Override PartName="/word/footer2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numbering.xml" ContentType="application/vnd.openxmlformats-officedocument.wordprocessingml.numbering+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notes.xml" ContentType="application/vnd.openxmlformats-officedocument.wordprocessingml.footnotes+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Override PartName="/customXml/item5.xml" ContentType="application/xml"/>
  <Override PartName="/customXml/itemProps5.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Override PartName="/customXml/_rels/item5.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120" w:after="0"/>
        <w:ind w:left="0"/>
        <w:rPr>
          <w:u w:val="single"/>
        </w:rPr>
      </w:pPr>
      <w:r>
        <w:rPr>
          <w:u w:val="single"/>
        </w:rPr>
      </w:r>
    </w:p>
    <w:p>
      <w:pPr>
        <w:pStyle w:val="Normal"/>
        <w:ind w:left="0"/>
        <w:jc w:val="center"/>
        <w:rPr/>
      </w:pPr>
      <w:r>
        <w:rPr/>
        <w:drawing>
          <wp:inline distT="0" distB="0" distL="0" distR="0">
            <wp:extent cx="1600200" cy="914400"/>
            <wp:effectExtent l="0" t="0" r="0" b="0"/>
            <wp:docPr id="1" name="Immagin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
                    <pic:cNvPicPr>
                      <a:picLocks noChangeAspect="1" noChangeArrowheads="1"/>
                    </pic:cNvPicPr>
                  </pic:nvPicPr>
                  <pic:blipFill>
                    <a:blip r:embed="rId2"/>
                    <a:stretch>
                      <a:fillRect/>
                    </a:stretch>
                  </pic:blipFill>
                  <pic:spPr bwMode="auto">
                    <a:xfrm>
                      <a:off x="0" y="0"/>
                      <a:ext cx="1600200" cy="914400"/>
                    </a:xfrm>
                    <a:prstGeom prst="rect">
                      <a:avLst/>
                    </a:prstGeom>
                    <a:noFill/>
                  </pic:spPr>
                </pic:pic>
              </a:graphicData>
            </a:graphic>
          </wp:inline>
        </w:drawing>
      </w:r>
    </w:p>
    <w:p>
      <w:pPr>
        <w:pStyle w:val="Normal"/>
        <w:ind w:left="0"/>
        <w:jc w:val="center"/>
        <w:rPr/>
      </w:pPr>
      <w:r>
        <w:rPr/>
      </w:r>
    </w:p>
    <w:p>
      <w:pPr>
        <w:pStyle w:val="Normal"/>
        <w:ind w:left="0"/>
        <w:jc w:val="center"/>
        <w:rPr/>
      </w:pPr>
      <w:r>
        <w:rPr/>
        <w:drawing>
          <wp:inline distT="0" distB="0" distL="0" distR="0">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3"/>
                    <a:stretch>
                      <a:fillRect/>
                    </a:stretch>
                  </pic:blipFill>
                  <pic:spPr bwMode="auto">
                    <a:xfrm>
                      <a:off x="0" y="0"/>
                      <a:ext cx="1609725" cy="1362075"/>
                    </a:xfrm>
                    <a:prstGeom prst="rect">
                      <a:avLst/>
                    </a:prstGeom>
                    <a:noFill/>
                  </pic:spPr>
                </pic:pic>
              </a:graphicData>
            </a:graphic>
          </wp:inline>
        </w:drawing>
      </w:r>
    </w:p>
    <w:p>
      <w:pPr>
        <w:pStyle w:val="BodyText3"/>
        <w:jc w:val="center"/>
        <w:rPr>
          <w:sz w:val="36"/>
        </w:rPr>
      </w:pPr>
      <w:r>
        <w:rPr>
          <w:sz w:val="36"/>
        </w:rPr>
      </w:r>
    </w:p>
    <w:p>
      <w:pPr>
        <w:pStyle w:val="Versdoc"/>
        <w:numPr>
          <w:ilvl w:val="0"/>
          <w:numId w:val="0"/>
        </w:numPr>
        <w:ind w:hanging="0" w:left="0"/>
        <w:outlineLvl w:val="0"/>
        <w:rPr/>
      </w:pPr>
      <w:r>
        <w:rPr>
          <w:sz w:val="36"/>
          <w:szCs w:val="24"/>
        </w:rPr>
        <w:t>Sistema Informativo Sanitario Territoriale – Fase 2</w:t>
      </w:r>
    </w:p>
    <w:p>
      <w:pPr>
        <w:pStyle w:val="TitoloDoc"/>
        <w:rPr>
          <w:sz w:val="36"/>
        </w:rPr>
      </w:pPr>
      <w:r>
        <w:rPr>
          <w:sz w:val="36"/>
        </w:rPr>
      </w:r>
    </w:p>
    <w:p>
      <w:pPr>
        <w:pStyle w:val="TitoloDoc"/>
        <w:jc w:val="left"/>
        <w:rPr>
          <w:sz w:val="32"/>
        </w:rPr>
      </w:pPr>
      <w:r>
        <w:rPr>
          <w:sz w:val="32"/>
        </w:rPr>
      </w:r>
    </w:p>
    <w:p>
      <w:pPr>
        <w:pStyle w:val="TitoloDoc"/>
        <w:rPr>
          <w:sz w:val="32"/>
        </w:rPr>
      </w:pPr>
      <w:r>
        <w:rPr>
          <w:sz w:val="32"/>
        </w:rPr>
        <w:t>Specifiche di integrazione</w:t>
      </w:r>
    </w:p>
    <w:p>
      <w:pPr>
        <w:pStyle w:val="Versdoc"/>
        <w:rPr/>
      </w:pPr>
      <w:r>
        <w:rPr/>
      </w:r>
    </w:p>
    <w:p>
      <w:pPr>
        <w:pStyle w:val="Versdoc"/>
        <w:rPr/>
      </w:pPr>
      <w:r>
        <w:rPr/>
      </w:r>
    </w:p>
    <w:p>
      <w:pPr>
        <w:pStyle w:val="Versdoc"/>
        <w:rPr/>
      </w:pPr>
      <w:r>
        <w:rPr/>
      </w:r>
    </w:p>
    <w:p>
      <w:pPr>
        <w:pStyle w:val="Versdoc"/>
        <w:rPr/>
      </w:pPr>
      <w:r>
        <w:rPr/>
        <w:t>Versione 4.03</w:t>
      </w:r>
    </w:p>
    <w:p>
      <w:pPr>
        <w:pStyle w:val="Versdoc"/>
        <w:rPr>
          <w:i/>
          <w:i/>
          <w:iCs/>
        </w:rPr>
      </w:pPr>
      <w:r>
        <w:rPr>
          <w:i/>
          <w:iCs/>
        </w:rPr>
        <w:t>Release 17 del 23 Agosto 2024</w:t>
      </w:r>
      <w:r>
        <w:br w:type="page"/>
      </w:r>
    </w:p>
    <w:p>
      <w:pPr>
        <w:pStyle w:val="Titol1senzanum"/>
        <w:numPr>
          <w:ilvl w:val="0"/>
          <w:numId w:val="0"/>
        </w:numPr>
        <w:spacing w:before="0" w:after="120"/>
        <w:ind w:hanging="567" w:left="567"/>
        <w:outlineLvl w:val="0"/>
        <w:rPr/>
      </w:pPr>
      <w:r>
        <w:rPr/>
        <w:t>Controllo della Configurazione</w:t>
      </w:r>
    </w:p>
    <w:p>
      <w:pPr>
        <w:pStyle w:val="Normal"/>
        <w:rPr/>
      </w:pPr>
      <w:r>
        <w:rPr/>
        <w:t xml:space="preserve">Titolo: </w:t>
        <w:tab/>
        <w:t>Specifiche di integrazione</w:t>
      </w:r>
    </w:p>
    <w:p>
      <w:pPr>
        <w:pStyle w:val="Titol2senzanum"/>
        <w:numPr>
          <w:ilvl w:val="0"/>
          <w:numId w:val="0"/>
        </w:numPr>
        <w:ind w:hanging="851" w:left="851"/>
        <w:outlineLvl w:val="0"/>
        <w:rPr/>
      </w:pPr>
      <w:r>
        <w:rPr/>
        <w:t>Storia delle Revisioni</w:t>
      </w:r>
    </w:p>
    <w:tbl>
      <w:tblPr>
        <w:tblW w:w="8046"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959"/>
        <w:gridCol w:w="7086"/>
      </w:tblGrid>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hanging="1418" w:left="1418"/>
              <w:jc w:val="center"/>
              <w:rPr>
                <w:b/>
              </w:rPr>
            </w:pPr>
            <w:r>
              <w:rPr>
                <w:b/>
              </w:rPr>
              <w:t>Ver</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hanging="1418" w:left="1418"/>
              <w:jc w:val="center"/>
              <w:rPr>
                <w:b/>
              </w:rPr>
            </w:pPr>
            <w:r>
              <w:rPr>
                <w:b/>
              </w:rPr>
              <w:t>Modifiche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invio ed annullamento del prescritto al DM del 2 Novembre 2011:</w:t>
            </w:r>
          </w:p>
          <w:p>
            <w:pPr>
              <w:pStyle w:val="Normal"/>
              <w:numPr>
                <w:ilvl w:val="0"/>
                <w:numId w:val="8"/>
              </w:numPr>
              <w:spacing w:before="48" w:after="48"/>
              <w:rPr/>
            </w:pPr>
            <w:r>
              <w:rPr/>
              <w:t xml:space="preserve">modificato il servizio </w:t>
            </w:r>
            <w:r>
              <w:rPr>
                <w:b/>
              </w:rPr>
              <w:t>chkPrescrizione</w:t>
            </w:r>
            <w:r>
              <w:rPr/>
              <w:t>;</w:t>
            </w:r>
          </w:p>
          <w:p>
            <w:pPr>
              <w:pStyle w:val="Normal"/>
              <w:numPr>
                <w:ilvl w:val="0"/>
                <w:numId w:val="8"/>
              </w:numPr>
              <w:spacing w:before="48" w:after="48"/>
              <w:rPr/>
            </w:pPr>
            <w:r>
              <w:rPr/>
              <w:t xml:space="preserve">modificato il servizio </w:t>
            </w:r>
            <w:r>
              <w:rPr>
                <w:b/>
              </w:rPr>
              <w:t>setRegistraPrescrizione</w:t>
            </w:r>
            <w:r>
              <w:rPr/>
              <w:t>;</w:t>
            </w:r>
          </w:p>
          <w:p>
            <w:pPr>
              <w:pStyle w:val="Normal"/>
              <w:numPr>
                <w:ilvl w:val="0"/>
                <w:numId w:val="8"/>
              </w:numPr>
              <w:spacing w:before="48" w:after="48"/>
              <w:rPr/>
            </w:pPr>
            <w:r>
              <w:rPr/>
              <w:t xml:space="preserve">modificato il servizio </w:t>
            </w:r>
            <w:r>
              <w:rPr>
                <w:b/>
              </w:rPr>
              <w:t>setAnnullaPrescrizione</w:t>
            </w:r>
            <w:r>
              <w:rPr/>
              <w:t>;</w:t>
            </w:r>
          </w:p>
          <w:p>
            <w:pPr>
              <w:pStyle w:val="Normal"/>
              <w:numPr>
                <w:ilvl w:val="0"/>
                <w:numId w:val="8"/>
              </w:numPr>
              <w:spacing w:before="48" w:after="48"/>
              <w:rPr/>
            </w:pPr>
            <w:r>
              <w:rPr/>
              <w:t xml:space="preserve">modificato il servizio </w:t>
            </w:r>
            <w:r>
              <w:rPr>
                <w:b/>
              </w:rPr>
              <w:t>getPrescrizioneFirmata;</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getPrescrizioniIdentificate;</w:t>
            </w:r>
          </w:p>
          <w:p>
            <w:pPr>
              <w:pStyle w:val="Normal"/>
              <w:spacing w:before="48" w:after="48"/>
              <w:rPr/>
            </w:pPr>
            <w:r>
              <w:rPr/>
            </w:r>
          </w:p>
          <w:p>
            <w:pPr>
              <w:pStyle w:val="Normal"/>
              <w:spacing w:before="48" w:after="48"/>
              <w:ind w:left="0"/>
              <w:rPr/>
            </w:pPr>
            <w:r>
              <w:rPr/>
              <w:t>Aggiornato l’elenco delle anomaile presente nell’Appendice A – Elenco delle anomalie e messaggi di errore.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erogazione ed annullamento del prescritto al DM del 2 Novembre 2011:</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setRegistraErogazioneFarm</w:t>
            </w:r>
            <w:r>
              <w:rPr/>
              <w:t>;</w:t>
            </w:r>
          </w:p>
          <w:p>
            <w:pPr>
              <w:pStyle w:val="Normal"/>
              <w:numPr>
                <w:ilvl w:val="0"/>
                <w:numId w:val="8"/>
              </w:numPr>
              <w:spacing w:before="48" w:after="48"/>
              <w:rPr>
                <w:b/>
              </w:rPr>
            </w:pPr>
            <w:r>
              <w:rPr/>
              <w:t xml:space="preserve">modificato il servizio </w:t>
            </w:r>
            <w:r>
              <w:rPr>
                <w:b/>
              </w:rPr>
              <w:t>setRegistraErogazioneSpec;</w:t>
            </w:r>
          </w:p>
          <w:p>
            <w:pPr>
              <w:pStyle w:val="Normal"/>
              <w:numPr>
                <w:ilvl w:val="0"/>
                <w:numId w:val="8"/>
              </w:numPr>
              <w:spacing w:before="48" w:after="48"/>
              <w:rPr/>
            </w:pPr>
            <w:r>
              <w:rPr/>
              <w:t xml:space="preserve">modificato il servizio </w:t>
            </w:r>
            <w:r>
              <w:rPr>
                <w:b/>
              </w:rPr>
              <w:t>setAnnullaErogazioneFarm</w:t>
            </w:r>
            <w:r>
              <w:rPr/>
              <w:t>;</w:t>
            </w:r>
          </w:p>
          <w:p>
            <w:pPr>
              <w:pStyle w:val="Normal"/>
              <w:numPr>
                <w:ilvl w:val="0"/>
                <w:numId w:val="8"/>
              </w:numPr>
              <w:spacing w:before="48" w:after="48"/>
              <w:rPr>
                <w:b/>
              </w:rPr>
            </w:pPr>
            <w:r>
              <w:rPr/>
              <w:t xml:space="preserve">modificato il servizio </w:t>
            </w:r>
            <w:r>
              <w:rPr>
                <w:b/>
              </w:rPr>
              <w:t>setAnnullaErogazioneSpec;</w:t>
            </w:r>
          </w:p>
          <w:p>
            <w:pPr>
              <w:pStyle w:val="Normal"/>
              <w:numPr>
                <w:ilvl w:val="0"/>
                <w:numId w:val="8"/>
              </w:numPr>
              <w:spacing w:before="48" w:after="48"/>
              <w:rPr>
                <w:b/>
              </w:rPr>
            </w:pPr>
            <w:r>
              <w:rPr/>
              <w:t xml:space="preserve">modificato il servizio </w:t>
            </w:r>
            <w:r>
              <w:rPr>
                <w:b/>
              </w:rPr>
              <w:t>getErogazioniRegistrateSpec;</w:t>
            </w:r>
          </w:p>
          <w:p>
            <w:pPr>
              <w:pStyle w:val="Normal"/>
              <w:numPr>
                <w:ilvl w:val="0"/>
                <w:numId w:val="8"/>
              </w:numPr>
              <w:spacing w:before="48" w:after="48"/>
              <w:rPr>
                <w:b/>
              </w:rPr>
            </w:pPr>
            <w:r>
              <w:rPr/>
              <w:t xml:space="preserve">modificato il servizio </w:t>
            </w:r>
            <w:r>
              <w:rPr>
                <w:b/>
              </w:rPr>
              <w:t>getPrescrizioneDaErogareFarm;</w:t>
            </w:r>
          </w:p>
          <w:p>
            <w:pPr>
              <w:pStyle w:val="Normal"/>
              <w:numPr>
                <w:ilvl w:val="0"/>
                <w:numId w:val="8"/>
              </w:numPr>
              <w:spacing w:before="48" w:after="48"/>
              <w:rPr>
                <w:b/>
              </w:rPr>
            </w:pPr>
            <w:r>
              <w:rPr/>
              <w:t xml:space="preserve">modificato il servizio </w:t>
            </w:r>
            <w:r>
              <w:rPr>
                <w:b/>
              </w:rPr>
              <w:t>getPrescrizioneDaErogareSpec;</w:t>
            </w:r>
          </w:p>
          <w:p>
            <w:pPr>
              <w:pStyle w:val="Normal"/>
              <w:numPr>
                <w:ilvl w:val="0"/>
                <w:numId w:val="8"/>
              </w:numPr>
              <w:spacing w:before="48" w:after="48"/>
              <w:rPr/>
            </w:pPr>
            <w:r>
              <w:rPr/>
              <w:t xml:space="preserve">modificato il servizio </w:t>
            </w:r>
            <w:r>
              <w:rPr>
                <w:b/>
              </w:rPr>
              <w:t>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Attivazione delle tipologie di erogazione singola,parziale e differita; sospensione dell’erogato; e approvvigionamento di scorte di lotti NRE in ottemperanza del DM 2 Novembre 2011:</w:t>
            </w:r>
          </w:p>
          <w:p>
            <w:pPr>
              <w:pStyle w:val="Normal"/>
              <w:numPr>
                <w:ilvl w:val="0"/>
                <w:numId w:val="8"/>
              </w:numPr>
              <w:spacing w:before="48" w:after="48"/>
              <w:rPr/>
            </w:pPr>
            <w:r>
              <w:rPr/>
              <w:t xml:space="preserve">modificato il servizio  </w:t>
            </w:r>
            <w:r>
              <w:rPr>
                <w:b/>
              </w:rPr>
              <w:t>setRegistraErogazioneFarm;</w:t>
            </w:r>
          </w:p>
          <w:p>
            <w:pPr>
              <w:pStyle w:val="Normal"/>
              <w:numPr>
                <w:ilvl w:val="0"/>
                <w:numId w:val="8"/>
              </w:numPr>
              <w:spacing w:before="48" w:after="48"/>
              <w:rPr/>
            </w:pPr>
            <w:r>
              <w:rPr/>
              <w:t xml:space="preserve">modificato il servizio </w:t>
            </w:r>
            <w:r>
              <w:rPr>
                <w:b/>
              </w:rPr>
              <w:t>setRegistraErogazioneSpec</w:t>
            </w:r>
            <w:r>
              <w:rPr/>
              <w:t>;</w:t>
            </w:r>
          </w:p>
          <w:p>
            <w:pPr>
              <w:pStyle w:val="Normal"/>
              <w:numPr>
                <w:ilvl w:val="0"/>
                <w:numId w:val="8"/>
              </w:numPr>
              <w:spacing w:before="48" w:after="48"/>
              <w:rPr/>
            </w:pPr>
            <w:r>
              <w:rPr/>
              <w:t xml:space="preserve">aggiunto il servizio </w:t>
            </w:r>
            <w:r>
              <w:rPr>
                <w:b/>
              </w:rPr>
              <w:t>setSospendiErogazioneRilasciaPrescrizione;</w:t>
            </w:r>
          </w:p>
          <w:p>
            <w:pPr>
              <w:pStyle w:val="Normal"/>
              <w:numPr>
                <w:ilvl w:val="0"/>
                <w:numId w:val="8"/>
              </w:numPr>
              <w:spacing w:before="48" w:after="48"/>
              <w:rPr>
                <w:b/>
              </w:rPr>
            </w:pPr>
            <w:r>
              <w:rPr/>
              <w:t xml:space="preserve">aggiunto il servizio </w:t>
            </w:r>
            <w:r>
              <w:rPr>
                <w:b/>
              </w:rPr>
              <w:t>getNreRichiestaLotto;</w:t>
            </w:r>
          </w:p>
          <w:p>
            <w:pPr>
              <w:pStyle w:val="Normal"/>
              <w:spacing w:before="48" w:after="48"/>
              <w:ind w:left="0"/>
              <w:rPr/>
            </w:pPr>
            <w:r>
              <w:rPr/>
              <w:t>Aggiornato l’elenco delle anomaile presente nell’Appendice A – Elenco delle anomalie e messaggi di errore – rimossa l’anomalia numero 0185</w:t>
            </w:r>
          </w:p>
          <w:p>
            <w:pPr>
              <w:pStyle w:val="Normal"/>
              <w:spacing w:before="48" w:after="48"/>
              <w:ind w:left="0"/>
              <w:rPr/>
            </w:pPr>
            <w:r>
              <w:rPr/>
            </w:r>
          </w:p>
          <w:p>
            <w:pPr>
              <w:pStyle w:val="Normal"/>
              <w:ind w:left="0"/>
              <w:jc w:val="both"/>
              <w:rPr/>
            </w:pPr>
            <w:r>
              <w:rPr/>
              <w:t>Elenco modifiche al documento CDA2_Prescrizione.pdf introdotte nella versione 3.00 del 29/01/2014 release 5 a seguito della nuova normativa DM 2 novembre 2011 – Ricetta dematerializzata: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pPr>
              <w:pStyle w:val="ListParagraph"/>
              <w:numPr>
                <w:ilvl w:val="1"/>
                <w:numId w:val="10"/>
              </w:numPr>
              <w:jc w:val="both"/>
              <w:rPr>
                <w:rFonts w:ascii="Times New Roman" w:hAnsi="Times New Roman"/>
                <w:sz w:val="20"/>
                <w:szCs w:val="20"/>
              </w:rPr>
            </w:pPr>
            <w:r>
              <w:rPr>
                <w:rFonts w:ascii="Times New Roman" w:hAnsi="Times New Roman"/>
                <w:sz w:val="20"/>
                <w:szCs w:val="20"/>
              </w:rPr>
              <w:t>$numTessSasn</w:t>
            </w:r>
          </w:p>
          <w:p>
            <w:pPr>
              <w:pStyle w:val="ListParagraph"/>
              <w:numPr>
                <w:ilvl w:val="1"/>
                <w:numId w:val="10"/>
              </w:numPr>
              <w:jc w:val="both"/>
              <w:rPr>
                <w:rFonts w:ascii="Times New Roman" w:hAnsi="Times New Roman"/>
                <w:sz w:val="20"/>
                <w:szCs w:val="20"/>
              </w:rPr>
            </w:pPr>
            <w:r>
              <w:rPr>
                <w:rFonts w:ascii="Times New Roman" w:hAnsi="Times New Roman"/>
                <w:sz w:val="20"/>
                <w:szCs w:val="20"/>
              </w:rPr>
              <w:t>$socNavigaz</w:t>
            </w:r>
          </w:p>
          <w:p>
            <w:pPr>
              <w:pStyle w:val="ListParagraph"/>
              <w:numPr>
                <w:ilvl w:val="1"/>
                <w:numId w:val="10"/>
              </w:numPr>
              <w:jc w:val="both"/>
              <w:rPr>
                <w:rFonts w:ascii="Times New Roman" w:hAnsi="Times New Roman"/>
                <w:sz w:val="20"/>
                <w:szCs w:val="20"/>
              </w:rPr>
            </w:pPr>
            <w:r>
              <w:rPr>
                <w:rFonts w:ascii="Times New Roman" w:hAnsi="Times New Roman"/>
                <w:sz w:val="20"/>
                <w:szCs w:val="20"/>
              </w:rPr>
              <w:t>$tipoVisita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$dataScadTessera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$dispReg</w:t>
            </w:r>
          </w:p>
          <w:p>
            <w:pPr>
              <w:pStyle w:val="Normal"/>
              <w:jc w:val="both"/>
              <w:rPr/>
            </w:pPr>
            <w:r>
              <w:rPr/>
              <w:t>Elenco modifiche al documento CDA2_Erogazione.pdf introdotte nella versione 3.00 del 13/02/2014 release 4:</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pPr>
              <w:pStyle w:val="ListParagraph"/>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6:</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pPr>
              <w:pStyle w:val="ListParagraph"/>
              <w:numPr>
                <w:ilvl w:val="0"/>
                <w:numId w:val="10"/>
              </w:numPr>
              <w:spacing w:before="0" w:after="200"/>
              <w:contextualSpacing/>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5:</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pPr>
              <w:pStyle w:val="ListParagraph"/>
              <w:spacing w:before="0" w:after="200"/>
              <w:ind w:left="0"/>
              <w:contextualSpacing/>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6:</w:t>
            </w:r>
          </w:p>
          <w:p>
            <w:pPr>
              <w:pStyle w:val="Normal"/>
              <w:ind w:left="0"/>
              <w:jc w:val="both"/>
              <w:rPr/>
            </w:pPr>
            <w:r>
              <w:rPr/>
            </w:r>
          </w:p>
          <w:p>
            <w:pPr>
              <w:pStyle w:val="ListParagraph"/>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pPr>
              <w:pStyle w:val="ListParagraph"/>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Introdotto nella risposta del servizio chkPrescrizione il tag elencoComunicazioni per veicolare il nome e cognome del medico prescrittore al fine di stamparlo nel promemoria.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4.02.05</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ind w:hanging="360" w:left="0"/>
              <w:jc w:val="both"/>
              <w:rPr/>
            </w:pPr>
            <w:r>
              <w:rPr/>
              <w:t xml:space="preserve">Modificato il servizio  </w:t>
            </w:r>
            <w:r>
              <w:rPr>
                <w:b/>
              </w:rPr>
              <w:t xml:space="preserve">getPrescrizioneIdentificata – </w:t>
            </w:r>
            <w:r>
              <w:rPr/>
              <w:t>aggiunta la modalità di visualizzazione dei dati oscurati da parte dell’erogatore tramite il tag tipoOperazione</w:t>
            </w:r>
          </w:p>
          <w:p>
            <w:pPr>
              <w:pStyle w:val="Normal"/>
              <w:ind w:left="0"/>
              <w:jc w:val="both"/>
              <w:rPr/>
            </w:pPr>
            <w:r>
              <w:rPr/>
            </w:r>
          </w:p>
          <w:p>
            <w:pPr>
              <w:pStyle w:val="Normal"/>
              <w:ind w:left="0"/>
              <w:jc w:val="both"/>
              <w:rPr/>
            </w:pPr>
            <w:r>
              <w:rPr/>
              <w:t>Inserito nel capitolo “Firma dei messaggi SOAP” sezioni dedicate alla composizione dei messaggi SOAP con dettaglio circa la costruzione dell’header ws-security</w:t>
            </w:r>
          </w:p>
          <w:p>
            <w:pPr>
              <w:pStyle w:val="Normal"/>
              <w:ind w:left="0"/>
              <w:jc w:val="both"/>
              <w:rPr/>
            </w:pPr>
            <w:r>
              <w:rPr/>
            </w:r>
          </w:p>
          <w:p>
            <w:pPr>
              <w:pStyle w:val="Normal"/>
              <w:ind w:left="0"/>
              <w:jc w:val="both"/>
              <w:rPr/>
            </w:pPr>
            <w:r>
              <w:rPr/>
              <w:t xml:space="preserve">Intodotti </w:t>
            </w:r>
            <w:r>
              <w:rPr>
                <w:rStyle w:val="il"/>
              </w:rPr>
              <w:t>fascicoli</w:t>
            </w:r>
            <w:r>
              <w:rPr/>
              <w:t xml:space="preserve"> dedicati per gli integratori che descrivano i flussi da implementare:</w:t>
            </w:r>
          </w:p>
          <w:p>
            <w:pPr>
              <w:pStyle w:val="Normal"/>
              <w:numPr>
                <w:ilvl w:val="0"/>
                <w:numId w:val="36"/>
              </w:numPr>
              <w:jc w:val="both"/>
              <w:rPr/>
            </w:pPr>
            <w:r>
              <w:rPr/>
              <w:t>Appendice A – Integratori di applicativi di cartelle cliniche</w:t>
            </w:r>
          </w:p>
          <w:p>
            <w:pPr>
              <w:pStyle w:val="Normal"/>
              <w:numPr>
                <w:ilvl w:val="0"/>
                <w:numId w:val="36"/>
              </w:numPr>
              <w:jc w:val="both"/>
              <w:rPr/>
            </w:pPr>
            <w:r>
              <w:rPr/>
              <w:t>Appendice B – Integratori di applicativi per gestionali di farmacie</w:t>
            </w:r>
          </w:p>
          <w:p>
            <w:pPr>
              <w:pStyle w:val="Normal"/>
              <w:numPr>
                <w:ilvl w:val="0"/>
                <w:numId w:val="36"/>
              </w:numPr>
              <w:jc w:val="both"/>
              <w:rPr/>
            </w:pPr>
            <w:r>
              <w:rPr/>
              <w:t>Appendice C – Integratori per applicativi CUP</w:t>
            </w:r>
          </w:p>
          <w:p>
            <w:pPr>
              <w:pStyle w:val="Normal"/>
              <w:ind w:left="0"/>
              <w:jc w:val="both"/>
              <w:rPr/>
            </w:pPr>
            <w:r>
              <w:rPr/>
            </w:r>
          </w:p>
          <w:p>
            <w:pPr>
              <w:pStyle w:val="Normal"/>
              <w:ind w:left="0"/>
              <w:jc w:val="both"/>
              <w:rPr/>
            </w:pPr>
            <w:r>
              <w:rPr/>
              <w:t>Elenco modifiche al documento CDA2_Prescrizione.pdf introdotte nella versione 3.00 del 29/01/2014 release 7:</w:t>
            </w:r>
          </w:p>
          <w:p>
            <w:pPr>
              <w:pStyle w:val="ListParagraph"/>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ind w:left="0"/>
              <w:jc w:val="both"/>
              <w:rPr/>
            </w:pPr>
            <w:r>
              <w:rPr/>
              <w:t>Elenco modifiche al documento CDA2_Erogazione.pdf introdotte nella versione 3.00 del 13/02/2014 release 7:</w:t>
            </w:r>
          </w:p>
          <w:p>
            <w:pPr>
              <w:pStyle w:val="ListParagraph"/>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keepLines w:val="false"/>
              <w:numPr>
                <w:ilvl w:val="0"/>
                <w:numId w:val="47"/>
              </w:numPr>
              <w:spacing w:lineRule="auto" w:line="276" w:before="0" w:after="200"/>
              <w:jc w:val="both"/>
              <w:rPr/>
            </w:pPr>
            <w:r>
              <w:rPr/>
              <w:t>Modificato il codice LOINC del documento di erogazione specialistico valore ammesso: 34109-9 (POCD_MT000040.code_IT)</w:t>
            </w:r>
          </w:p>
          <w:p>
            <w:pPr>
              <w:pStyle w:val="ListParagraph"/>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4.02.06</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jc w:val="both"/>
              <w:rPr/>
            </w:pPr>
            <w:r>
              <w:rP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pPr>
              <w:pStyle w:val="Normal"/>
              <w:spacing w:before="48" w:after="48"/>
              <w:ind w:left="36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8:</w:t>
            </w:r>
          </w:p>
          <w:p>
            <w:pPr>
              <w:pStyle w:val="Normal"/>
              <w:ind w:left="0"/>
              <w:jc w:val="both"/>
              <w:rPr/>
            </w:pPr>
            <w:r>
              <w:rPr/>
            </w:r>
          </w:p>
          <w:p>
            <w:pPr>
              <w:pStyle w:val="Normal"/>
              <w:keepLines w:val="false"/>
              <w:numPr>
                <w:ilvl w:val="0"/>
                <w:numId w:val="8"/>
              </w:numPr>
              <w:spacing w:lineRule="auto" w:line="276" w:before="0" w:after="200"/>
              <w:jc w:val="both"/>
              <w:rPr/>
            </w:pPr>
            <w:r>
              <w:rPr/>
              <w:t>Spostato il tag POCD_MT000040.effectiveTime_IT nella sezione POCD_MT000040.supplyFarmacoErogato_IT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9:</w:t>
            </w:r>
          </w:p>
          <w:p>
            <w:pPr>
              <w:pStyle w:val="Normal"/>
              <w:ind w:left="0"/>
              <w:jc w:val="both"/>
              <w:rPr/>
            </w:pPr>
            <w:r>
              <w:rPr/>
            </w:r>
          </w:p>
          <w:p>
            <w:pPr>
              <w:pStyle w:val="Normal"/>
              <w:keepLines w:val="false"/>
              <w:numPr>
                <w:ilvl w:val="0"/>
                <w:numId w:val="47"/>
              </w:numPr>
              <w:spacing w:lineRule="auto" w:line="276" w:before="0" w:after="200"/>
              <w:jc w:val="both"/>
              <w:rPr/>
            </w:pPr>
            <w:r>
              <w:rPr/>
              <w:t>Modificata la descrizione del tag POCD_MT000040.id_IT</w:t>
            </w:r>
          </w:p>
          <w:p>
            <w:pPr>
              <w:pStyle w:val="Normal"/>
              <w:keepLines w:val="false"/>
              <w:numPr>
                <w:ilvl w:val="0"/>
                <w:numId w:val="47"/>
              </w:numPr>
              <w:spacing w:lineRule="auto" w:line="276" w:before="0" w:after="200"/>
              <w:jc w:val="both"/>
              <w:rPr/>
            </w:pPr>
            <w:r>
              <w:rPr/>
              <w:t>Modificati gli esempi riportati nel tag POCD_MT000040.id_IT e POCD_MT000040.setId_IT</w:t>
            </w:r>
          </w:p>
          <w:p>
            <w:pPr>
              <w:pStyle w:val="Normal"/>
              <w:keepLines w:val="false"/>
              <w:numPr>
                <w:ilvl w:val="0"/>
                <w:numId w:val="47"/>
              </w:numPr>
              <w:spacing w:lineRule="auto" w:line="276" w:before="0" w:after="200"/>
              <w:rPr/>
            </w:pPr>
            <w:r>
              <w:rPr/>
              <w:t>Rimosso il prezzo rimborso dal tag POCD_MT000040.observationSingImporto_IT per la sezione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file CVP.xsd introducendo il tag ‘return’ nei messaggi:</w:t>
            </w:r>
          </w:p>
          <w:p>
            <w:pPr>
              <w:pStyle w:val="Normal"/>
              <w:numPr>
                <w:ilvl w:val="0"/>
                <w:numId w:val="48"/>
              </w:numPr>
              <w:jc w:val="both"/>
              <w:rPr/>
            </w:pPr>
            <w:r>
              <w:rPr/>
              <w:t>getNreRichiestaLottoResponse</w:t>
            </w:r>
          </w:p>
          <w:p>
            <w:pPr>
              <w:pStyle w:val="Normal"/>
              <w:numPr>
                <w:ilvl w:val="0"/>
                <w:numId w:val="48"/>
              </w:numPr>
              <w:jc w:val="both"/>
              <w:rPr/>
            </w:pPr>
            <w:r>
              <w:rPr/>
              <w:t>setSospendiErogazioneRilasciaPrescrizioneResponse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4.02.10</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49"/>
              </w:numPr>
              <w:spacing w:before="120" w:after="0"/>
              <w:jc w:val="both"/>
              <w:rPr/>
            </w:pPr>
            <w:r>
              <w:rPr/>
              <w:t>Aggiornato il file CVP.xsd introducento la lista dei farmaci erogati e lo stato della prescrizione nel servizio getPrescrizioneIdentificata</w:t>
            </w:r>
          </w:p>
          <w:p>
            <w:pPr>
              <w:pStyle w:val="Normal"/>
              <w:numPr>
                <w:ilvl w:val="0"/>
                <w:numId w:val="49"/>
              </w:numPr>
              <w:jc w:val="both"/>
              <w:rPr/>
            </w:pPr>
            <w:r>
              <w:rPr/>
              <w:t>Aggiornata la java doc relativamente ai nuovi tag aggiunti al servizio getPrescrizioneIdentificata</w:t>
            </w:r>
          </w:p>
          <w:p>
            <w:pPr>
              <w:pStyle w:val="Normal"/>
              <w:numPr>
                <w:ilvl w:val="0"/>
                <w:numId w:val="49"/>
              </w:numPr>
              <w:jc w:val="both"/>
              <w:rPr/>
            </w:pPr>
            <w:r>
              <w:rPr/>
              <w:t>Aggiunti nella cartella \definizione dei CDA\esempi CDA degli esempi di compilazione dei CDA di prescrizione ed erogazione relativamente alla copilazione del gruppo di equivalenza, codice minsteriale del farmaco e motivo di sostituzione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8:</w:t>
            </w:r>
          </w:p>
          <w:p>
            <w:pPr>
              <w:pStyle w:val="Normal"/>
              <w:ind w:left="0"/>
              <w:jc w:val="both"/>
              <w:rPr/>
            </w:pPr>
            <w:r>
              <w:rPr/>
            </w:r>
          </w:p>
          <w:p>
            <w:pPr>
              <w:pStyle w:val="Normal"/>
              <w:keepLines w:val="false"/>
              <w:numPr>
                <w:ilvl w:val="0"/>
                <w:numId w:val="49"/>
              </w:numPr>
              <w:spacing w:lineRule="auto" w:line="276" w:before="0" w:after="200"/>
              <w:jc w:val="both"/>
              <w:rPr/>
            </w:pPr>
            <w:r>
              <w:rPr/>
              <w:t>POCD_MT000040.entryMotivazioneNote_IT: Aggiunto il seguente entryRelationship per la memorizzazione del campo $motivazNote</w:t>
            </w:r>
          </w:p>
          <w:p>
            <w:pPr>
              <w:pStyle w:val="Normal"/>
              <w:keepLines w:val="false"/>
              <w:numPr>
                <w:ilvl w:val="0"/>
                <w:numId w:val="49"/>
              </w:numPr>
              <w:spacing w:lineRule="auto" w:line="276" w:before="0" w:after="200"/>
              <w:jc w:val="both"/>
              <w:rPr/>
            </w:pPr>
            <w:r>
              <w:rPr/>
              <w:t>POCD_MT000040.Component1: La struttura xml contenente l’informazione relativa alla tipologia della visita è obbligatorio in presenza di un CDA di prescrizione farmaceutica o specialistica con NRE. Non è da inserire in un CDA di ricovero.</w:t>
            </w:r>
          </w:p>
          <w:p>
            <w:pPr>
              <w:pStyle w:val="Normal"/>
              <w:keepLines w:val="false"/>
              <w:numPr>
                <w:ilvl w:val="0"/>
                <w:numId w:val="49"/>
              </w:numPr>
              <w:spacing w:lineRule="auto" w:line="276" w:before="0" w:after="200"/>
              <w:jc w:val="both"/>
              <w:rPr/>
            </w:pPr>
            <w:r>
              <w:rPr/>
              <w:t>POCD_MT000040.EncompassingEncounterCod: Aggiunto nell’esempio della sezione il tag effectiveTime</w:t>
            </w:r>
          </w:p>
          <w:p>
            <w:pPr>
              <w:pStyle w:val="Normal"/>
              <w:keepLines w:val="false"/>
              <w:numPr>
                <w:ilvl w:val="0"/>
                <w:numId w:val="49"/>
              </w:numPr>
              <w:spacing w:lineRule="auto" w:line="276" w:before="0" w:after="200"/>
              <w:jc w:val="both"/>
              <w:rPr/>
            </w:pPr>
            <w:r>
              <w:rPr/>
              <w:t>POCD_MT000040.EncompassingEncounter: Reso obbligatorio il tag effectiveTime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10:</w:t>
            </w:r>
          </w:p>
          <w:p>
            <w:pPr>
              <w:pStyle w:val="Normal"/>
              <w:numPr>
                <w:ilvl w:val="0"/>
                <w:numId w:val="47"/>
              </w:numPr>
              <w:jc w:val="both"/>
              <w:rPr/>
            </w:pPr>
            <w:r>
              <w:rPr/>
              <w:t>Modificata la descrizione del tag POCD_MT000040.idPresidioRepSpec_IT: l’attributo extension contiene il codice fiscale del medico erogatore</w:t>
            </w:r>
          </w:p>
          <w:p>
            <w:pPr>
              <w:pStyle w:val="Normal"/>
              <w:numPr>
                <w:ilvl w:val="0"/>
                <w:numId w:val="47"/>
              </w:numPr>
              <w:jc w:val="both"/>
              <w:rPr/>
            </w:pPr>
            <w:r>
              <w:rPr/>
              <w:t>Modificata l’uso del tag POCD_MT000040.CodRegionaleErogatore_IT da facoltativo a obbligatorio</w:t>
            </w:r>
          </w:p>
          <w:p>
            <w:pPr>
              <w:pStyle w:val="Normal"/>
              <w:numPr>
                <w:ilvl w:val="0"/>
                <w:numId w:val="47"/>
              </w:numPr>
              <w:jc w:val="both"/>
              <w:rPr/>
            </w:pPr>
            <w:r>
              <w:rPr/>
              <w:t>Modificato il valore dell’attributo displayName del tag POCD_MT000040.translationCode_IT. Il valore consentito è ‘Erogazione’</w:t>
            </w:r>
          </w:p>
          <w:p>
            <w:pPr>
              <w:pStyle w:val="Normal"/>
              <w:ind w:left="0"/>
              <w:jc w:val="both"/>
              <w:rPr/>
            </w:pPr>
            <w:r>
              <w:rPr/>
            </w:r>
          </w:p>
          <w:p>
            <w:pPr>
              <w:pStyle w:val="Normal"/>
              <w:ind w:left="0"/>
              <w:jc w:val="both"/>
              <w:rPr/>
            </w:pPr>
            <w:r>
              <w:rPr/>
              <w:t>CVP.xsd: Modificata l’obbligatorieta del tag elencoPrestazioniErog del servizio setAnnullaErogazioneSpec da facoltativo a obbligatorio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Deprecato il tag elencoPrestazioniErog del servizio setAnnullaErogazioneSpec a partire dall’attivazione del flusso DM2011 (tag versione &gt;= 4.01)</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il nuovo servizio getReportErogatoMensile esposto per gli erogatori farmaceutici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l’introduzione della modalità differita dei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11:</w:t>
            </w:r>
          </w:p>
          <w:p>
            <w:pPr>
              <w:pStyle w:val="Normal"/>
              <w:numPr>
                <w:ilvl w:val="0"/>
                <w:numId w:val="47"/>
              </w:numPr>
              <w:jc w:val="both"/>
              <w:rPr/>
            </w:pPr>
            <w:r>
              <w:rPr/>
              <w:t>Modificata la descrizione del tag POCD_MT000040.ProcedureCodeRegionaleErogSpec_IT: aggiunto il tag figlio POCD_MT000040.BrancaQualifierErogSpec_IT per veicolare il codice della branca specialistica della prestazione, come da nomenclatore regionale ($codBranca)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getPrescrizioneIdentifcata: Aggiunto in javadoc la mappa dei campi restituiti dal servizio centrale SAC visualizzaErogato nel caso di prescrizione fuori regione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bookmarkStart w:id="0" w:name="OLE_LINK3"/>
            <w:r>
              <w:rPr/>
              <w:t>Modificato paragrafo Rifermenti: Aggiunto rifermento al SISTEMA TS</w:t>
            </w:r>
            <w:bookmarkEnd w:id="0"/>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Rimosso storico del documento prima della versione 4.00</w:t>
            </w:r>
          </w:p>
          <w:p>
            <w:pPr>
              <w:pStyle w:val="Normal"/>
              <w:ind w:left="0"/>
              <w:jc w:val="both"/>
              <w:rPr/>
            </w:pPr>
            <w:r>
              <w:rPr/>
              <w:t>Rimossi servizi obsoleti dalla componente CVP:</w:t>
            </w:r>
          </w:p>
          <w:p>
            <w:pPr>
              <w:pStyle w:val="Normal"/>
              <w:numPr>
                <w:ilvl w:val="0"/>
                <w:numId w:val="53"/>
              </w:numPr>
              <w:jc w:val="both"/>
              <w:rPr/>
            </w:pPr>
            <w:r>
              <w:rPr/>
              <w:t>getArchivioAggiornato</w:t>
            </w:r>
          </w:p>
          <w:p>
            <w:pPr>
              <w:pStyle w:val="Normal"/>
              <w:numPr>
                <w:ilvl w:val="0"/>
                <w:numId w:val="53"/>
              </w:numPr>
              <w:jc w:val="both"/>
              <w:rPr/>
            </w:pPr>
            <w:r>
              <w:rPr/>
              <w:t>getErogazioniRegistrateSpec</w:t>
            </w:r>
          </w:p>
          <w:p>
            <w:pPr>
              <w:pStyle w:val="Normal"/>
              <w:numPr>
                <w:ilvl w:val="0"/>
                <w:numId w:val="53"/>
              </w:numPr>
              <w:jc w:val="both"/>
              <w:rPr/>
            </w:pPr>
            <w:r>
              <w:rPr/>
              <w:t>getPrescrizioneDaErogareSpec</w:t>
            </w:r>
          </w:p>
          <w:p>
            <w:pPr>
              <w:pStyle w:val="Normal"/>
              <w:numPr>
                <w:ilvl w:val="0"/>
                <w:numId w:val="53"/>
              </w:numPr>
              <w:jc w:val="both"/>
              <w:rPr/>
            </w:pPr>
            <w:r>
              <w:rPr/>
              <w:t>getPrescrizioneDaErogareFarm</w:t>
            </w:r>
          </w:p>
          <w:p>
            <w:pPr>
              <w:pStyle w:val="Normal"/>
              <w:numPr>
                <w:ilvl w:val="0"/>
                <w:numId w:val="53"/>
              </w:numPr>
              <w:jc w:val="both"/>
              <w:rPr/>
            </w:pPr>
            <w:r>
              <w:rPr/>
              <w:t>chkErogazioneSpec</w:t>
            </w:r>
          </w:p>
          <w:p>
            <w:pPr>
              <w:pStyle w:val="Normal"/>
              <w:numPr>
                <w:ilvl w:val="0"/>
                <w:numId w:val="53"/>
              </w:numPr>
              <w:jc w:val="both"/>
              <w:rPr/>
            </w:pPr>
            <w:r>
              <w:rPr/>
              <w:t>chkErogazioneFarm</w:t>
            </w:r>
          </w:p>
          <w:p>
            <w:pPr>
              <w:pStyle w:val="Normal"/>
              <w:numPr>
                <w:ilvl w:val="0"/>
                <w:numId w:val="53"/>
              </w:numPr>
              <w:jc w:val="both"/>
              <w:rPr/>
            </w:pPr>
            <w:r>
              <w:rPr/>
              <w:t>chkAccettazioneRic</w:t>
            </w:r>
          </w:p>
          <w:p>
            <w:pPr>
              <w:pStyle w:val="Normal"/>
              <w:numPr>
                <w:ilvl w:val="0"/>
                <w:numId w:val="53"/>
              </w:numPr>
              <w:jc w:val="both"/>
              <w:rPr/>
            </w:pPr>
            <w:r>
              <w:rPr/>
              <w:t>chkErogazioneRic</w:t>
            </w:r>
          </w:p>
          <w:p>
            <w:pPr>
              <w:pStyle w:val="Normal"/>
              <w:numPr>
                <w:ilvl w:val="0"/>
                <w:numId w:val="53"/>
              </w:numPr>
              <w:jc w:val="both"/>
              <w:rPr/>
            </w:pPr>
            <w:r>
              <w:rPr/>
              <w:t>getNreRichiestaLotto</w:t>
            </w:r>
          </w:p>
          <w:p>
            <w:pPr>
              <w:pStyle w:val="Normal"/>
              <w:ind w:left="0"/>
              <w:jc w:val="both"/>
              <w:rPr/>
            </w:pPr>
            <w:r>
              <w:rPr/>
              <w:t>Rimossi servizio obsoleti dalla componente AAGC:</w:t>
            </w:r>
          </w:p>
          <w:p>
            <w:pPr>
              <w:pStyle w:val="Normal"/>
              <w:numPr>
                <w:ilvl w:val="0"/>
                <w:numId w:val="54"/>
              </w:numPr>
              <w:jc w:val="both"/>
              <w:rPr/>
            </w:pPr>
            <w:r>
              <w:rPr/>
              <w:t>getVerificaConsenso</w:t>
            </w:r>
          </w:p>
          <w:p>
            <w:pPr>
              <w:pStyle w:val="Normal"/>
              <w:numPr>
                <w:ilvl w:val="0"/>
                <w:numId w:val="54"/>
              </w:numPr>
              <w:jc w:val="both"/>
              <w:rPr/>
            </w:pPr>
            <w:r>
              <w:rPr/>
              <w:t>getStoricoConsenso</w:t>
            </w:r>
          </w:p>
          <w:p>
            <w:pPr>
              <w:pStyle w:val="Normal"/>
              <w:numPr>
                <w:ilvl w:val="0"/>
                <w:numId w:val="54"/>
              </w:numPr>
              <w:jc w:val="both"/>
              <w:rPr/>
            </w:pPr>
            <w:r>
              <w:rPr/>
              <w:t>setRegistraConsenso</w:t>
            </w:r>
          </w:p>
          <w:p>
            <w:pPr>
              <w:pStyle w:val="Normal"/>
              <w:ind w:left="0"/>
              <w:jc w:val="both"/>
              <w:rPr/>
            </w:pPr>
            <w:r>
              <w:rPr/>
              <w:t>Rimossa componente RES</w:t>
            </w:r>
          </w:p>
          <w:p>
            <w:pPr>
              <w:pStyle w:val="Normal"/>
              <w:ind w:left="0"/>
              <w:jc w:val="both"/>
              <w:rPr/>
            </w:pPr>
            <w:r>
              <w:rPr/>
              <w:t>Rimossa componente FSE</w:t>
            </w:r>
          </w:p>
          <w:p>
            <w:pPr>
              <w:pStyle w:val="Normal"/>
              <w:ind w:left="0"/>
              <w:jc w:val="both"/>
              <w:rPr/>
            </w:pPr>
            <w:r>
              <w:rPr/>
              <w:t>Rimossa componente SSI</w:t>
            </w:r>
          </w:p>
          <w:p>
            <w:pPr>
              <w:pStyle w:val="Normal"/>
              <w:ind w:left="0"/>
              <w:jc w:val="both"/>
              <w:rPr/>
            </w:pPr>
            <w:r>
              <w:rPr/>
              <w:t>Aggiornato paragrafo Riferimenti.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color w:val="FF0000"/>
              </w:rPr>
            </w:pPr>
            <w:r>
              <w:rPr/>
              <w:t>4.02.20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Rimossi servizi obsoleti dalla componente CVP:</w:t>
            </w:r>
          </w:p>
          <w:p>
            <w:pPr>
              <w:pStyle w:val="Normal"/>
              <w:numPr>
                <w:ilvl w:val="0"/>
                <w:numId w:val="81"/>
              </w:numPr>
              <w:jc w:val="both"/>
              <w:rPr/>
            </w:pPr>
            <w:r>
              <w:rPr/>
              <w:t>getRicovero</w:t>
            </w:r>
          </w:p>
          <w:p>
            <w:pPr>
              <w:pStyle w:val="Normal"/>
              <w:numPr>
                <w:ilvl w:val="0"/>
                <w:numId w:val="81"/>
              </w:numPr>
              <w:jc w:val="both"/>
              <w:rPr/>
            </w:pPr>
            <w:r>
              <w:rPr/>
              <w:t>setRegistraErogazioneRicovero</w:t>
            </w:r>
          </w:p>
          <w:p>
            <w:pPr>
              <w:pStyle w:val="Normal"/>
              <w:numPr>
                <w:ilvl w:val="0"/>
                <w:numId w:val="81"/>
              </w:numPr>
              <w:jc w:val="both"/>
              <w:rPr/>
            </w:pPr>
            <w:r>
              <w:rPr/>
              <w:t>setRegistraAccettazioneRicovero</w:t>
            </w:r>
          </w:p>
          <w:p>
            <w:pPr>
              <w:pStyle w:val="Normal"/>
              <w:ind w:left="0"/>
              <w:jc w:val="both"/>
              <w:rPr/>
            </w:pPr>
            <w:r>
              <w:rPr/>
              <w:t>Aggiunto il tag idRicetta ai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file di rendering CDA – RMMG_Sist_RenderingCDA_07.11.2014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Aggiunte le specifiche di integrazione della componente FSE</w:t>
            </w:r>
          </w:p>
          <w:p>
            <w:pPr>
              <w:pStyle w:val="Normal"/>
              <w:ind w:left="0"/>
              <w:jc w:val="both"/>
              <w:rPr/>
            </w:pPr>
            <w:r>
              <w:rPr/>
              <w:t>Rinominato e rimpostata la struttura del documento che non contiene le sole specifiche PDD-ASL ma le intere specifiche di integrazione del SIST</w:t>
            </w:r>
          </w:p>
          <w:p>
            <w:pPr>
              <w:pStyle w:val="Normal"/>
              <w:ind w:left="0"/>
              <w:jc w:val="both"/>
              <w:rPr/>
            </w:pPr>
            <w:r>
              <w:rPr/>
              <w:t>Aggiunte le specifiche CDA dei documenti Patient Summary, SDO e Referto</w:t>
            </w:r>
          </w:p>
          <w:p>
            <w:pPr>
              <w:pStyle w:val="Normal"/>
              <w:ind w:left="0"/>
              <w:jc w:val="both"/>
              <w:rPr/>
            </w:pPr>
            <w:r>
              <w:rPr/>
              <w:t>Aggiunti gli schemi di validazione XSD per i CDA nella cartella “definizione dei CDA/coreschemas”</w:t>
            </w:r>
          </w:p>
          <w:p>
            <w:pPr>
              <w:pStyle w:val="Normal"/>
              <w:ind w:left="0"/>
              <w:jc w:val="both"/>
              <w:rPr/>
            </w:pPr>
            <w:r>
              <w:rPr/>
              <w:t>Aggiunti i parametri oscurato e maggiorTutela ai seguenti servizi del CVP</w:t>
            </w:r>
          </w:p>
          <w:p>
            <w:pPr>
              <w:pStyle w:val="Normal"/>
              <w:numPr>
                <w:ilvl w:val="0"/>
                <w:numId w:val="85"/>
              </w:numPr>
              <w:jc w:val="both"/>
              <w:rPr/>
            </w:pPr>
            <w:r>
              <w:rPr/>
              <w:t>setRegistraPrescrizione</w:t>
            </w:r>
          </w:p>
          <w:p>
            <w:pPr>
              <w:pStyle w:val="Normal"/>
              <w:numPr>
                <w:ilvl w:val="0"/>
                <w:numId w:val="85"/>
              </w:numPr>
              <w:jc w:val="both"/>
              <w:rPr/>
            </w:pPr>
            <w:r>
              <w:rPr/>
              <w:t>setRegistraErogazioneFarm</w:t>
            </w:r>
          </w:p>
          <w:p>
            <w:pPr>
              <w:pStyle w:val="Normal"/>
              <w:numPr>
                <w:ilvl w:val="0"/>
                <w:numId w:val="85"/>
              </w:numPr>
              <w:jc w:val="both"/>
              <w:rPr/>
            </w:pPr>
            <w:r>
              <w:rPr/>
              <w:t>setRegistraErogazioneSpec</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CVP.chkPrescrizione:</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codDiagnosi e descrizioneDiagnosi</w:t>
            </w:r>
          </w:p>
          <w:p>
            <w:pPr>
              <w:pStyle w:val="Normal"/>
              <w:ind w:left="0"/>
              <w:jc w:val="both"/>
              <w:rPr/>
            </w:pPr>
            <w:r>
              <w:rPr/>
              <w:t>Aggiornato l’elenco delle anomaile presente nell’Appendice C – Elenco delle anomalie e messaggi di errore – Ciclo di Vita Prescrittivo:</w:t>
            </w:r>
          </w:p>
          <w:p>
            <w:pPr>
              <w:pStyle w:val="ListParagraph"/>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pPr>
              <w:pStyle w:val="Normal"/>
              <w:ind w:left="0"/>
              <w:jc w:val="both"/>
              <w:rPr/>
            </w:pPr>
            <w:r>
              <w:rPr/>
              <w:t>Elenco modifiche al documento CDA2_Prescrizione.pdf introdotte nella versione 3.00 del 29/01/2014 release 9:</w:t>
            </w:r>
          </w:p>
          <w:p>
            <w:pPr>
              <w:pStyle w:val="Normal"/>
              <w:ind w:left="0"/>
              <w:jc w:val="both"/>
              <w:rPr/>
            </w:pPr>
            <w:r>
              <w:rPr/>
            </w:r>
          </w:p>
          <w:p>
            <w:pPr>
              <w:pStyle w:val="Normal"/>
              <w:keepLines w:val="false"/>
              <w:numPr>
                <w:ilvl w:val="0"/>
                <w:numId w:val="86"/>
              </w:numPr>
              <w:spacing w:lineRule="auto" w:line="276" w:before="0" w:after="200"/>
              <w:jc w:val="both"/>
              <w:rPr/>
            </w:pPr>
            <w:r>
              <w:rP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pPr>
              <w:pStyle w:val="Normal"/>
              <w:keepLines w:val="false"/>
              <w:numPr>
                <w:ilvl w:val="0"/>
                <w:numId w:val="86"/>
              </w:numPr>
              <w:spacing w:lineRule="auto" w:line="276" w:before="0" w:after="200"/>
              <w:jc w:val="both"/>
              <w:rPr/>
            </w:pPr>
            <w:r>
              <w:rPr/>
              <w:t>POCD_MT000040.ObservationCodeRegionaleSpec_IT: Sepcificato per il codice regionale della prestazione specialistica che in caso di lunghezza inferiore a 5 caratteri devono essere anteposti nella stringa gli spazi necessari</w:t>
            </w:r>
          </w:p>
          <w:p>
            <w:pPr>
              <w:pStyle w:val="Normal"/>
              <w:ind w:left="0"/>
              <w:jc w:val="both"/>
              <w:rPr/>
            </w:pPr>
            <w:r>
              <w:rPr/>
              <w:t>Elenco modifiche al documento CDA2_Erogazione.pdf introdotte nella versione 3.00 del 13/02/2014 release 12:</w:t>
            </w:r>
          </w:p>
          <w:p>
            <w:pPr>
              <w:pStyle w:val="Normal"/>
              <w:keepLines w:val="false"/>
              <w:numPr>
                <w:ilvl w:val="0"/>
                <w:numId w:val="47"/>
              </w:numPr>
              <w:spacing w:lineRule="auto" w:line="276" w:before="0" w:after="200"/>
              <w:jc w:val="both"/>
              <w:rPr/>
            </w:pPr>
            <w:r>
              <w:rPr>
                <w:bCs/>
              </w:rPr>
              <w:t xml:space="preserve">POCD_MT000040.ProcedureCodeRegionaleErogSpec_IT: </w:t>
            </w:r>
            <w:r>
              <w:rP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pPr>
              <w:pStyle w:val="Normal"/>
              <w:keepLines w:val="false"/>
              <w:numPr>
                <w:ilvl w:val="0"/>
                <w:numId w:val="47"/>
              </w:numPr>
              <w:spacing w:lineRule="auto" w:line="276" w:before="0" w:after="200"/>
              <w:jc w:val="both"/>
              <w:rPr/>
            </w:pPr>
            <w:r>
              <w:rPr>
                <w:bCs/>
              </w:rPr>
              <w:t>POCD_MT000040.ProcedureCodeRegionaleErogSpec_IT: Modificata la lunghezza del codice di prestazione a 5 caratteri anzicchè 6</w:t>
            </w:r>
          </w:p>
          <w:p>
            <w:pPr>
              <w:pStyle w:val="Normal"/>
              <w:keepLines w:val="false"/>
              <w:numPr>
                <w:ilvl w:val="0"/>
                <w:numId w:val="47"/>
              </w:numPr>
              <w:spacing w:lineRule="auto" w:line="276" w:before="0" w:after="200"/>
              <w:jc w:val="both"/>
              <w:rPr/>
            </w:pPr>
            <w:r>
              <w:rPr/>
              <w:t>ex:POCD_MT000040.EntryTicketSpec_Ext_IT: Specificato che il Ticket è la somma della quota fissa più la franchigia</w:t>
            </w:r>
          </w:p>
          <w:p>
            <w:pPr>
              <w:pStyle w:val="Normal"/>
              <w:keepLines w:val="false"/>
              <w:numPr>
                <w:ilvl w:val="0"/>
                <w:numId w:val="47"/>
              </w:numPr>
              <w:spacing w:lineRule="auto" w:line="276" w:before="0" w:after="200"/>
              <w:jc w:val="both"/>
              <w:rPr/>
            </w:pPr>
            <w:r>
              <w:rPr/>
              <w:t>POCD_MT000040.SectionCodeErogazioniSpec_IT: Modificata la dicitura “Erogazione Farmaceutica” con “Erogazione specialistica”</w:t>
            </w:r>
          </w:p>
          <w:p>
            <w:pPr>
              <w:pStyle w:val="ListParagraph"/>
              <w:numPr>
                <w:ilvl w:val="0"/>
                <w:numId w:val="47"/>
              </w:numPr>
              <w:spacing w:before="0" w:after="200"/>
              <w:contextualSpacing/>
              <w:jc w:val="both"/>
              <w:rPr>
                <w:rFonts w:ascii="Times New Roman" w:hAnsi="Times New Roman"/>
                <w:sz w:val="20"/>
                <w:szCs w:val="20"/>
              </w:rPr>
            </w:pPr>
            <w:r>
              <w:rPr>
                <w:rFonts w:eastAsia="Times New Roman" w:ascii="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Portale della Salute come attore nello scenario di Consultazione documento</w:t>
            </w:r>
          </w:p>
          <w:p>
            <w:pPr>
              <w:pStyle w:val="Normal"/>
              <w:ind w:left="0"/>
              <w:jc w:val="both"/>
              <w:rPr/>
            </w:pPr>
            <w:r>
              <w:rPr/>
              <w:t>Corretta la descrizione degli attributi typeOfCare e purposeOfUse nei servizi queryDocument e retrieveDocument</w:t>
            </w:r>
          </w:p>
          <w:p>
            <w:pPr>
              <w:pStyle w:val="Normal"/>
              <w:ind w:left="0"/>
              <w:jc w:val="both"/>
              <w:rPr/>
            </w:pPr>
            <w:r>
              <w:rPr/>
              <w:t>Corretti i controlli sulle asserzioni typeOfCare e purposeOfUse nei servizi queryDocument e retrieveDocument</w:t>
            </w:r>
          </w:p>
          <w:p>
            <w:pPr>
              <w:pStyle w:val="Normal"/>
              <w:ind w:left="0"/>
              <w:jc w:val="both"/>
              <w:rPr/>
            </w:pPr>
            <w:r>
              <w:rPr/>
              <w:t>Aggiunti i metadati nome, nomeAllegato e oscuramento e ristrutturato il metadato dell’allegato</w:t>
            </w:r>
          </w:p>
          <w:p>
            <w:pPr>
              <w:pStyle w:val="Normal"/>
              <w:ind w:left="0"/>
              <w:jc w:val="both"/>
              <w:rPr/>
            </w:pPr>
            <w:r>
              <w:rPr/>
              <w:t>Rinominata l’asserzione patientConsent (ex greaterProtectionDocument)</w:t>
            </w:r>
          </w:p>
          <w:p>
            <w:pPr>
              <w:pStyle w:val="Normal"/>
              <w:ind w:left="0"/>
              <w:jc w:val="both"/>
              <w:rPr/>
            </w:pPr>
            <w:r>
              <w:rPr/>
              <w:t>Aggiunti gli errori FSE-00213, FSE-00307, FSE-00404, FSE-00413, FSE-00414, FSE-00420</w:t>
            </w:r>
          </w:p>
          <w:p>
            <w:pPr>
              <w:pStyle w:val="Normal"/>
              <w:ind w:left="0"/>
              <w:jc w:val="both"/>
              <w:rPr/>
            </w:pPr>
            <w:r>
              <w:rPr/>
              <w:t>Inserita tabella per la generazione delle asserzioni patientConsent e blindDocument</w:t>
            </w:r>
          </w:p>
          <w:p>
            <w:pPr>
              <w:pStyle w:val="Normal"/>
              <w:ind w:left="0"/>
              <w:jc w:val="both"/>
              <w:rPr/>
            </w:pPr>
            <w:r>
              <w:rPr/>
              <w:t>Aggiunti il parametro salvaNelFascicolo ai seguenti servizi del CVP</w:t>
            </w:r>
          </w:p>
          <w:p>
            <w:pPr>
              <w:pStyle w:val="Normal"/>
              <w:numPr>
                <w:ilvl w:val="0"/>
                <w:numId w:val="89"/>
              </w:numPr>
              <w:jc w:val="both"/>
              <w:rPr/>
            </w:pPr>
            <w:r>
              <w:rPr/>
              <w:t>setRegistraPrescrizione</w:t>
            </w:r>
          </w:p>
          <w:p>
            <w:pPr>
              <w:pStyle w:val="Normal"/>
              <w:numPr>
                <w:ilvl w:val="0"/>
                <w:numId w:val="89"/>
              </w:numPr>
              <w:jc w:val="both"/>
              <w:rPr/>
            </w:pPr>
            <w:r>
              <w:rPr/>
              <w:t>setRegistraErogazioneFarm</w:t>
            </w:r>
          </w:p>
          <w:p>
            <w:pPr>
              <w:pStyle w:val="Normal"/>
              <w:numPr>
                <w:ilvl w:val="0"/>
                <w:numId w:val="89"/>
              </w:numPr>
              <w:jc w:val="both"/>
              <w:rPr/>
            </w:pPr>
            <w:r>
              <w:rPr/>
              <w:t>setRegistraErogazioneSpec</w:t>
            </w:r>
          </w:p>
          <w:p>
            <w:pPr>
              <w:pStyle w:val="Normal"/>
              <w:ind w:left="0"/>
              <w:jc w:val="both"/>
              <w:rPr>
                <w:u w:val="single"/>
              </w:rPr>
            </w:pPr>
            <w:r>
              <w:rPr/>
              <w:t>Modificato il template RMMG_Sist_RenderingCDA_07.11.2014.xsl: Inserita la diagnosi nel caso di CDA di prescrizione specialistica.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13:</w:t>
            </w:r>
          </w:p>
          <w:p>
            <w:pPr>
              <w:pStyle w:val="Normal"/>
              <w:ind w:left="0"/>
              <w:jc w:val="both"/>
              <w:rPr/>
            </w:pPr>
            <w:r>
              <w:rPr/>
              <w:t>Eliminato dal documento i riferimenti al tag POCD_MT000040.EntryTicketSpec_Ext_IT. La sezione ticket è valida solo per l’erogazione farmaceutica.</w:t>
            </w:r>
          </w:p>
          <w:p>
            <w:pPr>
              <w:pStyle w:val="Normal"/>
              <w:ind w:left="0"/>
              <w:jc w:val="both"/>
              <w:rPr/>
            </w:pPr>
            <w:r>
              <w:rPr/>
              <w:t>Modifica allo scenario Scenari di integrazione per applicativi CUP – Annullare Prenotazione: per rilasciare la presa in carico prima di aver comunicato il codice della struttura erogatrice avvalorare con 000000</w:t>
            </w:r>
          </w:p>
          <w:p>
            <w:pPr>
              <w:pStyle w:val="Normal"/>
              <w:ind w:left="0"/>
              <w:jc w:val="both"/>
              <w:rPr/>
            </w:pPr>
            <w:r>
              <w:rPr/>
              <w:t>Modificata l’interfaccia dei servizi getReadingAgreement e getWritingAgreement che ora restituiscono un terzo stato (‘none’) per gli assistiti che non hanno mai espresso il relativo consenso</w:t>
            </w:r>
          </w:p>
          <w:p>
            <w:pPr>
              <w:pStyle w:val="Normal"/>
              <w:ind w:left="0"/>
              <w:jc w:val="both"/>
              <w:rPr/>
            </w:pPr>
            <w:r>
              <w:rPr/>
              <w:t>Aggiunti esempi per i servizi getReadingAgreement e getWritingAgreement per assistiti che non hanno mai espresso il relativo consenso</w:t>
            </w:r>
          </w:p>
          <w:p>
            <w:pPr>
              <w:pStyle w:val="Normal"/>
              <w:ind w:left="0"/>
              <w:jc w:val="both"/>
              <w:rPr/>
            </w:pPr>
            <w:r>
              <w:rPr/>
              <w:t>Modificato il file RMMG_Sist_RenderingCDA_07.11.2014.xsl per gestire la visualizzazione delle note sul farmaco in prescrizione farmaceutica e per nascondere il codice del farmaco sostituito (se uguale a quello erogato) in erogazione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10:</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pPr>
              <w:pStyle w:val="ListParagraph"/>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pPr>
              <w:pStyle w:val="Normal"/>
              <w:ind w:left="0"/>
              <w:jc w:val="both"/>
              <w:rPr/>
            </w:pPr>
            <w:r>
              <w:rPr/>
              <w:t>Elenco modifiche al documento CDA2_Erogazione.pdf introdotte nella versione 3.00 del 13/02/2014 release 14:</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CVP.chkPrescrizione:</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CVP.getPrescrizioneIdentificata: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CVP.setRegistraErogazioneSpec:</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pPr>
              <w:pStyle w:val="Normal"/>
              <w:ind w:left="0"/>
              <w:jc w:val="both"/>
              <w:rPr/>
            </w:pPr>
            <w:r>
              <w:rPr/>
              <w:t>Modificato il servizio CVP.getReportErogatoMensile:</w:t>
            </w:r>
          </w:p>
          <w:p>
            <w:pPr>
              <w:pStyle w:val="ListParagraph"/>
              <w:numPr>
                <w:ilvl w:val="0"/>
                <w:numId w:val="88"/>
              </w:numPr>
              <w:jc w:val="both"/>
              <w:rPr/>
            </w:pPr>
            <w:r>
              <w:rPr>
                <w:rFonts w:ascii="Times New Roman" w:hAnsi="Times New Roman"/>
                <w:sz w:val="20"/>
                <w:szCs w:val="20"/>
              </w:rPr>
              <w:t>Abilitato il servizio alla restituzione del report mensile di erogazione per tutti gli erogatori (di prescrizioni farmaceutiche che specialistiche).</w:t>
            </w:r>
          </w:p>
          <w:p>
            <w:pPr>
              <w:pStyle w:val="Normal"/>
              <w:ind w:left="0"/>
              <w:jc w:val="both"/>
              <w:rPr/>
            </w:pPr>
            <w:r>
              <w:rPr/>
              <w:t>Modificato il foglio di stile RMMG_Sist_RenderingCDA_07.11.2014:</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pPr>
              <w:pStyle w:val="ListParagraph"/>
              <w:jc w:val="both"/>
              <w:rPr>
                <w:rFonts w:ascii="Times New Roman" w:hAnsi="Times New Roman"/>
                <w:sz w:val="20"/>
                <w:szCs w:val="20"/>
              </w:rPr>
            </w:pPr>
            <w:r>
              <w:rPr>
                <w:rFonts w:ascii="Times New Roman" w:hAnsi="Times New Roman"/>
                <w:sz w:val="20"/>
                <w:szCs w:val="20"/>
              </w:rPr>
            </w:r>
          </w:p>
          <w:p>
            <w:pPr>
              <w:pStyle w:val="ListParagraph"/>
              <w:jc w:val="both"/>
              <w:rPr>
                <w:rFonts w:ascii="Times New Roman" w:hAnsi="Times New Roman"/>
                <w:sz w:val="20"/>
                <w:szCs w:val="20"/>
              </w:rPr>
            </w:pPr>
            <w:r>
              <w:rPr>
                <w:rFonts w:ascii="Times New Roman" w:hAnsi="Times New Roman"/>
                <w:sz w:val="20"/>
                <w:szCs w:val="20"/>
              </w:rPr>
            </w:r>
          </w:p>
          <w:p>
            <w:pPr>
              <w:pStyle w:val="ListParagraph"/>
              <w:spacing w:before="0" w:after="200"/>
              <w:contextualSpacing/>
              <w:jc w:val="both"/>
              <w:rPr>
                <w:rFonts w:ascii="Times New Roman" w:hAnsi="Times New Roman"/>
                <w:sz w:val="20"/>
                <w:szCs w:val="20"/>
              </w:rPr>
            </w:pPr>
            <w:r>
              <w:rPr>
                <w:rFonts w:ascii="Times New Roman" w:hAnsi="Times New Roman"/>
                <w:sz w:val="20"/>
                <w:szCs w:val="20"/>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FSE.getAccessLog:</w:t>
            </w:r>
          </w:p>
          <w:p>
            <w:pPr>
              <w:pStyle w:val="ListParagraph"/>
              <w:numPr>
                <w:ilvl w:val="0"/>
                <w:numId w:val="88"/>
              </w:numPr>
              <w:jc w:val="both"/>
              <w:rPr/>
            </w:pPr>
            <w:r>
              <w:rPr>
                <w:rFonts w:ascii="Times New Roman" w:hAnsi="Times New Roman"/>
                <w:sz w:val="20"/>
                <w:szCs w:val="20"/>
              </w:rPr>
              <w:t>Aggiunti i campi role, organizationCode, organizationName elocality in risposta al servizio.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11:</w:t>
            </w:r>
          </w:p>
          <w:p>
            <w:pPr>
              <w:pStyle w:val="ListParagraph"/>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pPr>
              <w:pStyle w:val="Normal"/>
              <w:ind w:left="0"/>
              <w:jc w:val="both"/>
              <w:rPr/>
            </w:pPr>
            <w:r>
              <w:rPr/>
              <w:t>Modificata la documentazione del servizio CVP.chkPrescrizione: I campi “codDiagnosi” e “descrizioneDiagnosi” possono essere avvalorati contemporaneamente.</w:t>
            </w:r>
            <w:bookmarkStart w:id="3" w:name="OLE_LINK5"/>
            <w:bookmarkEnd w:id="3"/>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88"/>
              </w:numPr>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Aggiunta campo descrTestoLiberoNote.</w:t>
            </w:r>
          </w:p>
          <w:p>
            <w:pPr>
              <w:pStyle w:val="Normal"/>
              <w:ind w:left="0"/>
              <w:jc w:val="both"/>
              <w:rPr/>
            </w:pPr>
            <w:r>
              <w:rPr/>
              <w:t>Elenco modifiche al documento CDA2_Erogazione.pdf introdotte nella versione 3.00 del 28/12/2015 release 14:</w:t>
            </w:r>
          </w:p>
          <w:p>
            <w:pPr>
              <w:pStyle w:val="ListParagraph"/>
              <w:numPr>
                <w:ilvl w:val="0"/>
                <w:numId w:val="88"/>
              </w:numPr>
              <w:spacing w:before="0" w:after="200"/>
              <w:contextualSpacing/>
              <w:jc w:val="both"/>
              <w:rPr/>
            </w:pPr>
            <w:r>
              <w:rPr/>
              <w:t>Aggiunta campo galDirChiamAltro.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FSE: Revisione scenari integrazione FSE, modifica codici LOINC prescrizioni Farmaceutica,Specialistica e di Ricovero</w:t>
            </w:r>
          </w:p>
          <w:p>
            <w:pPr>
              <w:pStyle w:val="Normal"/>
              <w:ind w:left="0"/>
              <w:jc w:val="both"/>
              <w:rPr/>
            </w:pPr>
            <w:r>
              <w:rPr/>
              <w:t xml:space="preserve">Modifica obbligatorietà asserzioni </w:t>
            </w:r>
            <w:r>
              <w:rPr>
                <w:i/>
                <w:sz w:val="18"/>
                <w:szCs w:val="18"/>
              </w:rPr>
              <w:t>patientConsent e BlindDocument</w:t>
            </w:r>
          </w:p>
          <w:p>
            <w:pPr>
              <w:pStyle w:val="Normal"/>
              <w:ind w:left="0"/>
              <w:jc w:val="both"/>
              <w:rPr/>
            </w:pPr>
            <w:r>
              <w:rPr/>
              <w:t>FSE: modifica del tipo dell’asserzione blindDocument in booleano, stante ad indicare la sola caratteristica dell’oscuramento. L’espressione della maggior tutela di anonimato viene ricavata dal valore del tag &lt;confidentialityCode&gt;, elemento obbligatorio del CDA.</w:t>
            </w:r>
          </w:p>
          <w:p>
            <w:pPr>
              <w:pStyle w:val="Normal"/>
              <w:ind w:left="0"/>
              <w:jc w:val="both"/>
              <w:rPr/>
            </w:pPr>
            <w:bookmarkStart w:id="4" w:name="OLE_LINK14"/>
            <w:r>
              <w:rP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pPr>
              <w:pStyle w:val="Normal"/>
              <w:ind w:left="0"/>
              <w:jc w:val="both"/>
              <w:rPr/>
            </w:pPr>
            <w:r>
              <w:rPr/>
              <w:t>FSE: Aggiunto errore FSE-00319</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DPCM 14 novembre 2015: Adeguato il flusso dell’erogazione farmaceutica alle nuove specifiche SistemaTS del 30/01/2016 sulla circolarità della ricetta. Consultare la sezione Javadoc allegata per maggiori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l’approvvigionamento dei lotti NRE per MMG/PLS: servizio non utilizzato nel SAR Puglia;</w:t>
            </w:r>
          </w:p>
          <w:p>
            <w:pPr>
              <w:pStyle w:val="Normal"/>
              <w:ind w:left="0"/>
              <w:jc w:val="both"/>
              <w:rPr/>
            </w:pPr>
            <w:r>
              <w:rPr/>
              <w:t>Corretto il tracciato dell’erogazione in differita, rendendo coerente il file xsd con la logica SIST;</w:t>
            </w:r>
          </w:p>
          <w:p>
            <w:pPr>
              <w:pStyle w:val="Normal"/>
              <w:ind w:left="0"/>
              <w:jc w:val="both"/>
              <w:rPr/>
            </w:pPr>
            <w:r>
              <w:rP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pPr>
              <w:pStyle w:val="Normal"/>
              <w:keepLines w:val="false"/>
              <w:spacing w:lineRule="auto" w:line="240" w:before="0" w:after="0"/>
              <w:ind w:left="742"/>
              <w:rPr>
                <w:rFonts w:eastAsia="Calibri"/>
                <w:lang w:eastAsia="en-US"/>
              </w:rPr>
            </w:pPr>
            <w:r>
              <w:rPr>
                <w:rFonts w:eastAsia="Calibri"/>
                <w:lang w:eastAsia="en-US"/>
              </w:rPr>
              <w:t>Prescrizione Farmaceutica: 57833-6 (in sostituzione di 29305-0);</w:t>
            </w:r>
          </w:p>
          <w:p>
            <w:pPr>
              <w:pStyle w:val="Normal"/>
              <w:keepLines w:val="false"/>
              <w:spacing w:lineRule="auto" w:line="240" w:before="0" w:after="0"/>
              <w:ind w:left="720"/>
              <w:jc w:val="both"/>
              <w:rPr>
                <w:rFonts w:eastAsia="Calibri"/>
                <w:lang w:eastAsia="en-US"/>
              </w:rPr>
            </w:pPr>
            <w:r>
              <w:rPr>
                <w:rFonts w:eastAsia="Calibri"/>
                <w:lang w:eastAsia="en-US"/>
              </w:rPr>
              <w:t>Prescrizione Specialistica: 57832-8 (in sostituzione di 11488-4);</w:t>
            </w:r>
          </w:p>
          <w:p>
            <w:pPr>
              <w:pStyle w:val="Normal"/>
              <w:keepLines w:val="false"/>
              <w:spacing w:lineRule="auto" w:line="240" w:before="0" w:after="0"/>
              <w:ind w:left="720"/>
              <w:rPr>
                <w:rFonts w:eastAsia="Calibri"/>
                <w:lang w:eastAsia="en-US"/>
              </w:rPr>
            </w:pPr>
            <w:r>
              <w:rPr>
                <w:rFonts w:eastAsia="Calibri"/>
                <w:lang w:eastAsia="en-US"/>
              </w:rPr>
              <w:t>Prescrizione di Ricovero: 57830-2 (in sostituzione di 34112-3).</w:t>
            </w:r>
          </w:p>
          <w:p>
            <w:pPr>
              <w:pStyle w:val="Normal"/>
              <w:keepLines w:val="false"/>
              <w:numPr>
                <w:ilvl w:val="0"/>
                <w:numId w:val="88"/>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POCD_MT000040.SectionCodePrescrizioniFarm_IT, con il codice LOINC valido per la farmaceutica 57833-6 (in sostituzione di 29305-0);</w:t>
            </w:r>
          </w:p>
          <w:p>
            <w:pPr>
              <w:pStyle w:val="Normal"/>
              <w:keepLines w:val="false"/>
              <w:numPr>
                <w:ilvl w:val="0"/>
                <w:numId w:val="88"/>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POCD_MT000040.SectionCodePrescrizioniSpec_IT, con il codice LOINC valido per la farmaceutica 57832-8 (in sostituzione di 11488-4);</w:t>
            </w:r>
          </w:p>
          <w:p>
            <w:pPr>
              <w:pStyle w:val="Normal"/>
              <w:keepLines w:val="false"/>
              <w:spacing w:lineRule="auto" w:line="240" w:before="0" w:after="0"/>
              <w:rPr>
                <w:rFonts w:eastAsia="Calibri"/>
                <w:lang w:eastAsia="en-US"/>
              </w:rPr>
            </w:pPr>
            <w:r>
              <w:rPr>
                <w:rFonts w:eastAsia="Calibri"/>
                <w:lang w:eastAsia="en-US"/>
              </w:rPr>
            </w:r>
          </w:p>
          <w:p>
            <w:pPr>
              <w:pStyle w:val="Normal"/>
              <w:keepLines w:val="false"/>
              <w:spacing w:lineRule="auto" w:line="240" w:before="0" w:after="0"/>
              <w:ind w:left="0"/>
              <w:rPr>
                <w:rFonts w:eastAsia="Calibri"/>
                <w:lang w:eastAsia="en-US"/>
              </w:rPr>
            </w:pPr>
            <w:r>
              <w:rPr>
                <w:rFonts w:eastAsia="Calibri"/>
                <w:lang w:eastAsia="en-US"/>
              </w:rPr>
              <w:t>Aggiornata la risposta restituita dai servizi:</w:t>
            </w:r>
          </w:p>
          <w:p>
            <w:pPr>
              <w:pStyle w:val="Normal"/>
              <w:keepLines w:val="false"/>
              <w:numPr>
                <w:ilvl w:val="0"/>
                <w:numId w:val="90"/>
              </w:numPr>
              <w:spacing w:lineRule="auto" w:line="240" w:before="0" w:after="0"/>
              <w:rPr>
                <w:rFonts w:eastAsia="Calibri"/>
                <w:lang w:eastAsia="en-US"/>
              </w:rPr>
            </w:pPr>
            <w:r>
              <w:rPr>
                <w:rFonts w:eastAsia="Calibri"/>
                <w:lang w:eastAsia="en-US"/>
              </w:rPr>
              <w:t>chkPrescrizione;</w:t>
            </w:r>
          </w:p>
          <w:p>
            <w:pPr>
              <w:pStyle w:val="Normal"/>
              <w:keepLines w:val="false"/>
              <w:numPr>
                <w:ilvl w:val="0"/>
                <w:numId w:val="90"/>
              </w:numPr>
              <w:spacing w:lineRule="auto" w:line="240" w:before="0" w:after="0"/>
              <w:rPr>
                <w:lang w:eastAsia="en-US"/>
              </w:rPr>
            </w:pPr>
            <w:r>
              <w:rPr>
                <w:rFonts w:eastAsia="Calibri"/>
                <w:bCs/>
                <w:lang w:eastAsia="en-US"/>
              </w:rPr>
              <w:t>setRegistraErogazioneFarm, setRegistraErogazioneSpec;</w:t>
            </w:r>
          </w:p>
          <w:p>
            <w:pPr>
              <w:pStyle w:val="Normal"/>
              <w:keepLines w:val="false"/>
              <w:spacing w:lineRule="auto" w:line="240" w:before="0" w:after="0"/>
              <w:ind w:left="0"/>
              <w:rPr>
                <w:rFonts w:eastAsia="Calibri"/>
                <w:bCs/>
                <w:lang w:eastAsia="en-US"/>
              </w:rPr>
            </w:pPr>
            <w:r>
              <w:rPr>
                <w:rFonts w:eastAsia="Calibri"/>
                <w:bCs/>
                <w:lang w:eastAsia="en-US"/>
              </w:rPr>
              <w:t>concatendando, laddove restituito dal SAC, anche il progressivo di riferimento secondo la seguente sintassi:</w:t>
            </w:r>
          </w:p>
          <w:p>
            <w:pPr>
              <w:pStyle w:val="Normal"/>
              <w:keepLines w:val="false"/>
              <w:spacing w:lineRule="auto" w:line="240" w:before="0" w:after="0"/>
              <w:ind w:left="0"/>
              <w:rPr>
                <w:lang w:eastAsia="en-US"/>
              </w:rPr>
            </w:pPr>
            <w:r>
              <w:rPr>
                <w:lang w:eastAsia="en-US"/>
              </w:rPr>
              <w:t>“</w:t>
            </w:r>
            <w:r>
              <w:rPr>
                <w:lang w:eastAsia="en-US"/>
              </w:rPr>
              <w:t>Elenco delle anomalie &lt;bloccanti/non bloccanti&gt; restituite dai servizi telematici MEF. – ( -</w:t>
            </w:r>
          </w:p>
          <w:p>
            <w:pPr>
              <w:pStyle w:val="Normal"/>
              <w:keepLines w:val="false"/>
              <w:spacing w:lineRule="auto" w:line="240" w:before="0" w:after="0"/>
              <w:ind w:left="0"/>
              <w:rPr>
                <w:lang w:eastAsia="en-US"/>
              </w:rPr>
            </w:pPr>
            <w:r>
              <w:rPr>
                <w:lang w:eastAsia="en-US"/>
              </w:rPr>
              <w:t>&lt;codEsito&gt; - &lt;esito&gt; - Progressivo:&lt;progrPresc&gt;”</w:t>
            </w:r>
          </w:p>
          <w:p>
            <w:pPr>
              <w:pStyle w:val="Normal"/>
              <w:keepLines w:val="false"/>
              <w:spacing w:lineRule="auto" w:line="240" w:before="0" w:after="0"/>
              <w:ind w:left="720"/>
              <w:rPr>
                <w:rFonts w:eastAsia="Calibri"/>
                <w:lang w:eastAsia="en-US"/>
              </w:rPr>
            </w:pPr>
            <w:r>
              <w:rPr>
                <w:rFonts w:eastAsia="Calibri"/>
                <w:lang w:eastAsia="en-US"/>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tipologia di documento: Relazione di Pronto Soccorso (LOINC 59258-4)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specifica del CDA della Lettera di dimissione ospedaliera (cfr. /definizione dei CDA/HL7Italia-IG_CDA2_LDO-v1.0-S.pdf)</w:t>
            </w:r>
          </w:p>
          <w:p>
            <w:pPr>
              <w:pStyle w:val="Normal"/>
              <w:ind w:left="0"/>
              <w:jc w:val="both"/>
              <w:rPr/>
            </w:pPr>
            <w:r>
              <w:rPr/>
              <w:t>Aggiunta la possibilità, nel ws setAnnullaErogazioneSpec, di utilizzare il parametro codAnnullamento con valore 2 per annullare l’erogazione senza revoca della presa in carico (cfr. Javadoc servizio setAnnullaErogazioneSpec per ulteriori dettagli)</w:t>
            </w:r>
          </w:p>
          <w:p>
            <w:pPr>
              <w:pStyle w:val="Normal"/>
              <w:ind w:left="0"/>
              <w:jc w:val="both"/>
              <w:rPr/>
            </w:pPr>
            <w:r>
              <w:rPr/>
              <w:t>Adeguamento del SIST alla DGR 2034 del 13.12.2016 in materia di appropriatezza prescrittiva.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file di rendering RMMG_Sist_Rendering_FSE_14122016.xsl che consente di visualizzare anche i documenti del FSE:</w:t>
            </w:r>
          </w:p>
          <w:p>
            <w:pPr>
              <w:pStyle w:val="ListParagraph"/>
              <w:numPr>
                <w:ilvl w:val="0"/>
                <w:numId w:val="93"/>
              </w:numPr>
              <w:spacing w:lineRule="auto" w:line="240" w:before="0" w:after="0"/>
              <w:contextualSpacing w:val="false"/>
              <w:rPr>
                <w:rFonts w:ascii="Times New Roman" w:hAnsi="Times New Roman" w:eastAsia="Times New Roman"/>
                <w:sz w:val="20"/>
                <w:szCs w:val="20"/>
                <w:lang w:eastAsia="it-IT"/>
              </w:rPr>
            </w:pPr>
            <w:r>
              <w:rPr>
                <w:rFonts w:eastAsia="Times New Roman" w:ascii="Times New Roman" w:hAnsi="Times New Roman"/>
                <w:sz w:val="20"/>
                <w:szCs w:val="20"/>
                <w:lang w:eastAsia="it-IT"/>
              </w:rPr>
              <w:t>Referto di patologia clinica</w:t>
            </w:r>
          </w:p>
          <w:p>
            <w:pPr>
              <w:pStyle w:val="ListParagraph"/>
              <w:numPr>
                <w:ilvl w:val="0"/>
                <w:numId w:val="93"/>
              </w:numPr>
              <w:spacing w:lineRule="auto" w:line="240" w:before="0" w:after="0"/>
              <w:contextualSpacing w:val="false"/>
              <w:rPr>
                <w:color w:val="1F497D"/>
              </w:rPr>
            </w:pPr>
            <w:r>
              <w:rPr>
                <w:rFonts w:eastAsia="Times New Roman" w:ascii="Times New Roman" w:hAnsi="Times New Roman"/>
                <w:sz w:val="20"/>
                <w:szCs w:val="20"/>
                <w:lang w:eastAsia="it-IT"/>
              </w:rPr>
              <w:t>Lettera di dimissione ospedaliera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documento Specifiche di integrazione SIST inserendo, tra i metadati per la ricerca all’interno del documento Verbale di Pronto Soccorso, anche i campi relativi al triage.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lo scenario di rettifica dei certificati di malattia INPS (par. 11.2.2).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sezione relativa alla gestione del consenso al pregresso.</w:t>
            </w:r>
          </w:p>
          <w:p>
            <w:pPr>
              <w:pStyle w:val="Normal"/>
              <w:ind w:left="0"/>
              <w:jc w:val="both"/>
              <w:rPr/>
            </w:pPr>
            <w:r>
              <w:rPr/>
              <w:t>Inserita una precisazione nel flusso di invio dell’erogazione specialistica in differita, in merito alla chiamata del servizio 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setDisclosure e getAgreements nel documento Javadoc, nel documento di specifica dei servizi e nella cartella wsdl.</w:t>
            </w:r>
          </w:p>
          <w:p>
            <w:pPr>
              <w:pStyle w:val="Normal"/>
              <w:ind w:left="0"/>
              <w:jc w:val="both"/>
              <w:rPr/>
            </w:pPr>
            <w:r>
              <w:rPr/>
              <w:t>Inserito nel documento Javadoc un chiarimento per il servizio getPrescrizioneIdentificata richiamato con il tipoOperazione 1.</w:t>
            </w:r>
          </w:p>
          <w:p>
            <w:pPr>
              <w:pStyle w:val="Normal"/>
              <w:ind w:left="0"/>
              <w:jc w:val="both"/>
              <w:rPr/>
            </w:pPr>
            <w:r>
              <w:rPr/>
              <w:t>Aggiunta nella cartella definizione dei CDA la specifica del documento Verbale di Pronto Soccorso.</w:t>
            </w:r>
          </w:p>
          <w:p>
            <w:pPr>
              <w:pStyle w:val="Normal"/>
              <w:ind w:left="0"/>
              <w:jc w:val="both"/>
              <w:rPr/>
            </w:pPr>
            <w:r>
              <w:rPr/>
              <w:t>Aggiornati nella cartella definizione dei CDA le specifiche dei documenti Referto di Laboratorio e Lettera di Dimissione Ospedaliera.</w:t>
            </w:r>
          </w:p>
          <w:p>
            <w:pPr>
              <w:pStyle w:val="Normal"/>
              <w:ind w:left="0"/>
              <w:jc w:val="both"/>
              <w:rPr/>
            </w:pPr>
            <w:r>
              <w:rPr/>
              <w:t>Inserita una precisazione sulla gestione degli errori generici del FSE al paragrafo 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servizio setRegistraPrescrizione per veicolare l’identificativo del Piano Care Puglia.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servizio setAgreements esposto dal Fascicolo Sanitario Elettronico.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Inserito il campo testata2 in restituzione al servizio getPrescrizioneIdentificata per identificare le ricette dematerializzate contenenti farmaci in DPC.</w:t>
            </w:r>
          </w:p>
          <w:p>
            <w:pPr>
              <w:pStyle w:val="Normal"/>
              <w:ind w:left="0"/>
              <w:rPr/>
            </w:pPr>
            <w:r>
              <w:rPr/>
              <w:t xml:space="preserve">Aggiunti i servizi getElencoPAI, getElencoPAIDomiciliare, getPianoAssistenzialeDomiciliare, </w:t>
              <w:tab/>
              <w:t>setAccessoDomiciliare, setInsertBilancioDiSaluteMedicoPLS, setInsertPrestazioneAggiuntivaMedicoBase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il tag salvaNelFascicolo dai servizi setRegistraPrescrizione, getPrescrizioneIndentificata,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sulla componente PDD i servizi esposti dal sistema regionale GIAVA. In particolare, sono stati aggiunti i servizi:</w:t>
            </w:r>
          </w:p>
          <w:p>
            <w:pPr>
              <w:pStyle w:val="Normal"/>
              <w:numPr>
                <w:ilvl w:val="0"/>
                <w:numId w:val="93"/>
              </w:numPr>
              <w:jc w:val="both"/>
              <w:rPr/>
            </w:pPr>
            <w:r>
              <w:rPr/>
              <w:t>setVaccinazione;</w:t>
            </w:r>
          </w:p>
          <w:p>
            <w:pPr>
              <w:pStyle w:val="Normal"/>
              <w:numPr>
                <w:ilvl w:val="0"/>
                <w:numId w:val="93"/>
              </w:numPr>
              <w:jc w:val="both"/>
              <w:rPr/>
            </w:pPr>
            <w:r>
              <w:rPr/>
              <w:t>updateVaccinazione;</w:t>
            </w:r>
          </w:p>
          <w:p>
            <w:pPr>
              <w:pStyle w:val="Normal"/>
              <w:numPr>
                <w:ilvl w:val="0"/>
                <w:numId w:val="93"/>
              </w:numPr>
              <w:jc w:val="both"/>
              <w:rPr/>
            </w:pPr>
            <w:r>
              <w:rPr/>
              <w:t>deleteVaccinazione;</w:t>
            </w:r>
          </w:p>
          <w:p>
            <w:pPr>
              <w:pStyle w:val="Normal"/>
              <w:numPr>
                <w:ilvl w:val="0"/>
                <w:numId w:val="93"/>
              </w:numPr>
              <w:jc w:val="both"/>
              <w:rPr/>
            </w:pPr>
            <w:r>
              <w:rPr/>
              <w:t>getVaccinazioni.</w:t>
            </w:r>
          </w:p>
          <w:p>
            <w:pPr>
              <w:pStyle w:val="Normal"/>
              <w:ind w:left="0"/>
              <w:jc w:val="both"/>
              <w:rPr/>
            </w:pPr>
            <w:r>
              <w:rPr/>
              <w:t>Richiamabili dagli applicativi di cartella clinica. Per ulteriori informazioni fare riferimento al relativo javadoc della componente AAGC ed ai documenti contenuti nella cartella “Specifiche servizi 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possibilità di indicare il Protocollo di Piano Terapeutico nel servizio chkPrescrizione;</w:t>
            </w:r>
          </w:p>
          <w:p>
            <w:pPr>
              <w:pStyle w:val="Normal"/>
              <w:ind w:left="0"/>
              <w:jc w:val="both"/>
              <w:rPr/>
            </w:pPr>
            <w:r>
              <w:rPr/>
              <w:t>Restituzione dell’eventuale Protocollo del Piano Terapeutico nel servizio getPrescrizioneIdentificata.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statoGravidanza nei servizi setVaccinazione e updateVaccinazione-</w:t>
            </w:r>
            <w:bookmarkStart w:id="5" w:name="_Hlk440461636"/>
            <w:bookmarkEnd w:id="5"/>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di gestione dei Piani Terapeutici Dematerializzati, a partire dal Piano Nota 97. Per ulteriori informazioni fare riferimento al relativo javadoc della componente AAGC.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somministrazioneDomiciliare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campi numeroCellulare e contattoMail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nella cartella definizione dei CDA la specifica del documento “Scheda paziente 118” (LOINC 78341-5).</w:t>
            </w:r>
          </w:p>
          <w:p>
            <w:pPr>
              <w:pStyle w:val="Normal"/>
              <w:ind w:left="0"/>
              <w:jc w:val="both"/>
              <w:rPr/>
            </w:pPr>
            <w:r>
              <w:rPr/>
              <w:t>Aggiunta nella cartella definizione dei CDA la specifica del documento “Referto Specialistico Ambulatoriale” (LOINC 11488-4).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nuovi servizi per Ciclo di Vita Prescrittivo Ricetta Bianca, in particolare:</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getPrescrizioneIdentificataNSSN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setAnnullaErogazioneFarmNSSN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setAnnullaPrescrizioneNSSN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setRegistraErogazioneFarmNSSN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setRegistraPrescrizioneNSSN</w:t>
            </w:r>
          </w:p>
          <w:p>
            <w:pPr>
              <w:pStyle w:val="ListParagraph"/>
              <w:numPr>
                <w:ilvl w:val="0"/>
                <w:numId w:val="113"/>
              </w:numPr>
              <w:rPr/>
            </w:pPr>
            <w:r>
              <w:rPr>
                <w:rFonts w:eastAsia="Times New Roman" w:ascii="Times New Roman" w:hAnsi="Times New Roman"/>
                <w:sz w:val="20"/>
                <w:szCs w:val="20"/>
                <w:lang w:eastAsia="it-IT"/>
              </w:rPr>
              <w:t>setSospendiErogazioneNSSN</w:t>
            </w:r>
          </w:p>
          <w:p>
            <w:pPr>
              <w:pStyle w:val="Normal"/>
              <w:ind w:left="0"/>
              <w:rPr/>
            </w:pPr>
            <w:r>
              <w:rPr/>
              <w:t>Aggiornato endpoint PDD ASL</w:t>
            </w:r>
          </w:p>
          <w:p>
            <w:pPr>
              <w:pStyle w:val="Normal"/>
              <w:ind w:left="0"/>
              <w:rPr/>
            </w:pPr>
            <w:r>
              <w:rPr/>
              <w:t>Descritti scenari per gestionali di farmacia e per cartelle cliniche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Aggiornati i documenti di specifiche tecniche CDA2_Prescrizione_NSSN.pdf e CDA2_Erogazione_NSSN.pdf.</w:t>
            </w:r>
          </w:p>
          <w:p>
            <w:pPr>
              <w:pStyle w:val="Normal"/>
              <w:ind w:left="0"/>
              <w:jc w:val="both"/>
              <w:rPr/>
            </w:pPr>
            <w:r>
              <w:rPr/>
              <w:t xml:space="preserve"> </w:t>
            </w:r>
            <w:r>
              <w:rPr/>
              <w:t>Aggiunte casistiche per valorizzazione codice paziente nel caso di ENI/STP</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Aggiunta Nota tecnica integrativa per specificare le regole di composizione di un CDA nel caso di erogazione in televisita, CDA2_Erogazione_Televisita.pdf.</w:t>
            </w:r>
          </w:p>
          <w:p>
            <w:pPr>
              <w:pStyle w:val="Normal"/>
              <w:ind w:left="0"/>
              <w:rPr/>
            </w:pPr>
            <w:r>
              <w:rPr/>
              <w:t>Aggiornato endpoind pdd chkPrescrizioneNSSN, agiunto campo specialClinica.</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xsd pdd con il campo specialClinica.</w:t>
            </w:r>
          </w:p>
          <w:p>
            <w:pPr>
              <w:pStyle w:val="Normal"/>
              <w:ind w:left="0"/>
              <w:rPr/>
            </w:pPr>
            <w:r>
              <w:rPr/>
              <w:t>Rinominata Nota tecnica integrativa per specificare le regole di composizione di un CDA, in “CDA2_Erogazione_Modalita_Ambulatoriale-Televisita.pdf”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foglio di trasformazione xsl RMMG_Sist_RenderingCDA_03.02.2022.xsl</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Aggiornati i CDA per ricetta bianca in .\definizione dei CDA\esempi CDA Ricetta Bianca.</w:t>
            </w:r>
          </w:p>
          <w:p>
            <w:pPr>
              <w:pStyle w:val="Normal"/>
              <w:ind w:left="0"/>
              <w:rPr/>
            </w:pPr>
            <w:r>
              <w:rPr/>
              <w:t>Aggiornato WSDL PDD per eliminare l’attributo form=”unqualified” da servizi NSSN.</w:t>
            </w:r>
          </w:p>
          <w:p>
            <w:pPr>
              <w:pStyle w:val="Normal"/>
              <w:ind w:left="0"/>
              <w:rPr/>
            </w:pPr>
            <w:r>
              <w:rPr/>
              <w:t>Aggiornato l’ordine dei parametri per la chiamata al web service “setRegistraErogazioneFarmNSSN”.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Adeguamento della javadoc per la classe cvpnssn.vo.AnomaliaNSSN, corretti valori gestiti nel campo tipoErrore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Aggiornate le specifiche dei Cda di erogazione ricetta bianca in .\ \definizione dei CDA\CDA2_Erogazione_NSSN.pdf, in particolare il tag “legalAutenticator” risulta ora obbligatorio.</w:t>
            </w:r>
          </w:p>
          <w:p>
            <w:pPr>
              <w:pStyle w:val="Normal"/>
              <w:ind w:left="0"/>
              <w:rPr/>
            </w:pPr>
            <w:r>
              <w:rPr/>
              <w:t>Aggiornato WSDL PDD, per la request al servizio setRegistraErogazioneFarmNSSN è stato aggiunto il parametro “oscurato”.</w:t>
            </w:r>
          </w:p>
          <w:p>
            <w:pPr>
              <w:pStyle w:val="Normal"/>
              <w:ind w:left="0"/>
              <w:rPr/>
            </w:pPr>
            <w:r>
              <w:rPr/>
              <w:t>Aggiornate le specifiche dei Cda di prescrizione ricetta bianca in .\ \definizione dei CDA\CDA2_Prescrizione_NSSN.pdf, in particolare il tag “legalAutenticator” risulta ora obbligatorio.</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l’aggiunta dei campi estremiDocumento e spedizRidottaFrazionata per l’oggetto PrestazioneErogataNSSN.</w:t>
            </w:r>
          </w:p>
          <w:p>
            <w:pPr>
              <w:pStyle w:val="Normal"/>
              <w:ind w:left="0"/>
              <w:rPr/>
            </w:pPr>
            <w:r>
              <w:rPr/>
              <w:t>Aggiornatamento dei wsdl per l’aggiunta dei campi estremiDocumento e spedizRidottaFrazionata per la response del servizio getPrescrizioneIdentificataNSSN.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il cambio di tipo response dell’operation getElencoPianoTerapeutico</w:t>
            </w:r>
          </w:p>
          <w:p>
            <w:pPr>
              <w:pStyle w:val="Normal"/>
              <w:ind w:left="0"/>
              <w:rPr/>
            </w:pPr>
            <w:r>
              <w:rPr/>
              <w:t>Aggiornato l’ xsd AAGCService.xsd con la giusta response cambiata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pdf relativo al CDA di prescrizione NSSN, “CDA2_Prescrizione_NSSN.pdf”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specifiche in \definizione dei CDA per i documenti LDO, PSS, Referto Medicina Lab, RSA e VPS</w:t>
            </w:r>
          </w:p>
          <w:p>
            <w:pPr>
              <w:pStyle w:val="Normal"/>
              <w:ind w:left="0"/>
              <w:rPr/>
            </w:pPr>
            <w:r>
              <w:rPr/>
              <w:t>Aggiornamento javadoc PDD per il nuovo tipo di response restituita dal retrieveDocument che permette di vedere il mimeType del documento</w:t>
            </w:r>
          </w:p>
          <w:p>
            <w:pPr>
              <w:pStyle w:val="Normal"/>
              <w:ind w:left="0"/>
              <w:rPr/>
            </w:pPr>
            <w:r>
              <w:rPr/>
              <w:t>Aggiornamento di IDocumentService.wsdl in \wsdl-dominio-regione con aggiunta del campo mimeType per il retrieveDocument</w:t>
            </w:r>
          </w:p>
          <w:p>
            <w:pPr>
              <w:pStyle w:val="Normal"/>
              <w:ind w:left="0"/>
              <w:rPr/>
            </w:pPr>
            <w:r>
              <w:rPr/>
              <w:t>Aggiornamento di IDocumentService.wsdl e IDocumentService.xsd in \wsdl-pddasl con aggiunta del campo mimeType per il retrieveDocument</w:t>
            </w:r>
          </w:p>
          <w:p>
            <w:pPr>
              <w:pStyle w:val="Normal"/>
              <w:ind w:left="0"/>
              <w:rPr/>
            </w:pPr>
            <w:r>
              <w:rPr/>
              <w:t>Aggiornamento nuovo xsl in \xsl</w:t>
            </w:r>
          </w:p>
          <w:p>
            <w:pPr>
              <w:pStyle w:val="Normal"/>
              <w:ind w:left="0"/>
              <w:rPr/>
            </w:pPr>
            <w:r>
              <w:rPr/>
              <w:t>Aggiornamento javadoc in \Specifiche di Integrazione per la gestione dei consensi del FSE.zip</w:t>
            </w:r>
          </w:p>
          <w:p>
            <w:pPr>
              <w:pStyle w:val="Normal"/>
              <w:ind w:left="0"/>
              <w:rPr/>
            </w:pPr>
            <w:r>
              <w:rPr/>
              <w:t>Aggiornamento javadoc e wsdl in \Specifiche servizio queryDocument 1.2_SOLO_FARMACISTI.zip</w:t>
            </w:r>
          </w:p>
          <w:p>
            <w:pPr>
              <w:pStyle w:val="Normal"/>
              <w:ind w:left="0"/>
              <w:rPr/>
            </w:pPr>
            <w:r>
              <w:rPr/>
              <w:t>Aggiornamento paragrafo 9.3.1 Dizionario metadati con l’aggiunta del campo mimeType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72"/>
              <w:rPr/>
            </w:pPr>
            <w:r>
              <w:rP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pPr>
              <w:pStyle w:val="Normal"/>
              <w:ind w:left="72"/>
              <w:rPr/>
            </w:pPr>
            <w:r>
              <w:rPr/>
              <w:t>Aggiornamento documentazione javadoc PDD del metodo  setCambioStatoPrescrizione del servizio CVP per la gestione dei nuovi campi necessari al monitoraggio Tda.</w:t>
            </w:r>
          </w:p>
          <w:p>
            <w:pPr>
              <w:pStyle w:val="Normal"/>
              <w:ind w:left="72"/>
              <w:rPr/>
            </w:pPr>
            <w:r>
              <w:rPr/>
              <w:t>Aggiornamento di CVPService.xsd in \wsdl-pddasl con i nuovi campi necessari al monitoraggio Tda:</w:t>
            </w:r>
          </w:p>
          <w:p>
            <w:pPr>
              <w:pStyle w:val="ListParagraph"/>
              <w:numPr>
                <w:ilvl w:val="0"/>
                <w:numId w:val="113"/>
              </w:numPr>
              <w:rPr>
                <w:rFonts w:ascii="Times New Roman" w:hAnsi="Times New Roman" w:eastAsia="Times New Roman"/>
                <w:sz w:val="20"/>
                <w:szCs w:val="20"/>
                <w:lang w:eastAsia="it-IT"/>
              </w:rPr>
            </w:pPr>
            <w:r>
              <w:rPr/>
              <w:t>garanziaTempiMassimi</w:t>
            </w:r>
          </w:p>
          <w:p>
            <w:pPr>
              <w:pStyle w:val="ListParagraph"/>
              <w:numPr>
                <w:ilvl w:val="0"/>
                <w:numId w:val="113"/>
              </w:numPr>
              <w:rPr/>
            </w:pPr>
            <w:r>
              <w:rPr/>
              <w:t>dataAssegnata</w:t>
            </w:r>
          </w:p>
          <w:p>
            <w:pPr>
              <w:pStyle w:val="ListParagraph"/>
              <w:numPr>
                <w:ilvl w:val="0"/>
                <w:numId w:val="113"/>
              </w:numPr>
              <w:rPr/>
            </w:pPr>
            <w:r>
              <w:rPr/>
              <w:t>dataPrimaDisponibilita</w:t>
            </w:r>
          </w:p>
          <w:p>
            <w:pPr>
              <w:pStyle w:val="ListParagraph"/>
              <w:numPr>
                <w:ilvl w:val="0"/>
                <w:numId w:val="113"/>
              </w:numPr>
              <w:rPr/>
            </w:pPr>
            <w:r>
              <w:rPr/>
              <w:t>canalePrenotazione</w:t>
            </w:r>
          </w:p>
          <w:p>
            <w:pPr>
              <w:pStyle w:val="Normal"/>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il nuovo servizio per la cooperazione tra il sistema SIST e il sistema SIRS Screening oncologici:</w:t>
            </w:r>
          </w:p>
          <w:p>
            <w:pPr>
              <w:pStyle w:val="ListParagraph"/>
              <w:numPr>
                <w:ilvl w:val="0"/>
                <w:numId w:val="2"/>
              </w:numPr>
              <w:rPr/>
            </w:pPr>
            <w:r>
              <w:rPr/>
              <w:t>getScreeningExams</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SIRS</w:t>
            </w:r>
          </w:p>
          <w:p>
            <w:pPr>
              <w:pStyle w:val="ListParagraph"/>
              <w:numPr>
                <w:ilvl w:val="0"/>
                <w:numId w:val="2"/>
              </w:numPr>
              <w:rPr/>
            </w:pPr>
            <w:r>
              <w:rPr/>
              <w:t>prescriptionCheck</w:t>
            </w:r>
          </w:p>
          <w:p>
            <w:pPr>
              <w:pStyle w:val="ListParagraph"/>
              <w:numPr>
                <w:ilvl w:val="0"/>
                <w:numId w:val="2"/>
              </w:numPr>
              <w:rPr/>
            </w:pPr>
            <w:r>
              <w:rPr/>
              <w:t>getScreeningStatus</w:t>
            </w:r>
          </w:p>
          <w:p>
            <w:pPr>
              <w:pStyle w:val="ListParagraph"/>
              <w:numPr>
                <w:ilvl w:val="0"/>
                <w:numId w:val="2"/>
              </w:numPr>
              <w:rPr/>
            </w:pPr>
            <w:r>
              <w:rPr/>
              <w:t>getScreeningReport</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GIAVA</w:t>
            </w:r>
          </w:p>
          <w:p>
            <w:pPr>
              <w:pStyle w:val="ListParagraph"/>
              <w:numPr>
                <w:ilvl w:val="0"/>
                <w:numId w:val="114"/>
              </w:numPr>
              <w:snapToGrid w:val="false"/>
              <w:spacing w:lineRule="atLeast" w:line="280" w:before="0" w:after="120"/>
              <w:contextualSpacing/>
              <w:rPr/>
            </w:pPr>
            <w:r>
              <w:rPr/>
              <w:t>setMovimentiLotto</w:t>
            </w:r>
          </w:p>
          <w:p>
            <w:pPr>
              <w:pStyle w:val="ListParagraph"/>
              <w:numPr>
                <w:ilvl w:val="0"/>
                <w:numId w:val="114"/>
              </w:numPr>
              <w:snapToGrid w:val="false"/>
              <w:spacing w:lineRule="atLeast" w:line="280" w:before="0" w:after="120"/>
              <w:contextualSpacing/>
              <w:rPr/>
            </w:pPr>
            <w:r>
              <w:rPr/>
              <w:t>updateMovimentiLotto</w:t>
            </w:r>
          </w:p>
          <w:p>
            <w:pPr>
              <w:pStyle w:val="ListParagraph"/>
              <w:numPr>
                <w:ilvl w:val="0"/>
                <w:numId w:val="114"/>
              </w:numPr>
              <w:snapToGrid w:val="false"/>
              <w:spacing w:lineRule="atLeast" w:line="280" w:before="0" w:after="120"/>
              <w:contextualSpacing/>
              <w:rPr/>
            </w:pPr>
            <w:r>
              <w:rPr/>
              <w:t>deleteMovimentiLotto</w:t>
            </w:r>
          </w:p>
          <w:p>
            <w:pPr>
              <w:pStyle w:val="ListParagraph"/>
              <w:numPr>
                <w:ilvl w:val="0"/>
                <w:numId w:val="114"/>
              </w:numPr>
              <w:snapToGrid w:val="false"/>
              <w:spacing w:lineRule="atLeast" w:line="280" w:before="0" w:after="120"/>
              <w:contextualSpacing/>
              <w:rPr/>
            </w:pPr>
            <w:r>
              <w:rPr/>
              <w:t>getMovimentoLotto</w:t>
            </w:r>
          </w:p>
          <w:p>
            <w:pPr>
              <w:pStyle w:val="Normal"/>
              <w:ind w:left="0"/>
              <w:rPr/>
            </w:pPr>
            <w:r>
              <w:rPr/>
              <w:t>Aggiornamento di AAGCService.xsd e AAGCService.wsdl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documentazione javadoc PDD del metodo chkPrescrizione e getPrescrizioneIdentificata del servizio CVP per la gestione dei campi aggiuntivi legati ai nuovi LEA:</w:t>
            </w:r>
          </w:p>
          <w:p>
            <w:pPr>
              <w:pStyle w:val="ListParagraph"/>
              <w:numPr>
                <w:ilvl w:val="0"/>
                <w:numId w:val="115"/>
              </w:numPr>
              <w:rPr/>
            </w:pPr>
            <w:r>
              <w:rPr/>
              <w:t>numSedute</w:t>
            </w:r>
          </w:p>
          <w:p>
            <w:pPr>
              <w:pStyle w:val="Normal"/>
              <w:ind w:left="0"/>
              <w:rPr/>
            </w:pPr>
            <w:r>
              <w:rPr/>
              <w:t>Aggiornamento di CVPService.xsd in \wsdl-pddasl</w:t>
            </w:r>
          </w:p>
          <w:p>
            <w:pPr>
              <w:pStyle w:val="Normal"/>
              <w:ind w:left="0"/>
              <w:rPr/>
            </w:pPr>
            <w:r>
              <w:rPr/>
              <w:t>Aggiunta Nota tecnica integrativa per specificare le regole di composizione di un CDA nel caso di prescrizione con i nuovi campi LEA, “CDA2_Prescrizione_Nuovi_LEA”.</w:t>
            </w:r>
          </w:p>
          <w:p>
            <w:pPr>
              <w:pStyle w:val="Normal"/>
              <w:ind w:left="0"/>
              <w:rPr/>
            </w:pPr>
            <w:r>
              <w:rPr/>
              <w:t>Aggiornamento nuovo xsl in \xsl e xsl_FSE/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4.03.17</w:t>
            </w:r>
          </w:p>
        </w:tc>
        <w:tc>
          <w:tcPr>
            <w:tcW w:w="7086" w:type="dxa"/>
            <w:tcBorders>
              <w:top w:val="double" w:sz="6" w:space="0" w:color="000000"/>
              <w:left w:val="single" w:sz="6" w:space="0" w:color="000000"/>
              <w:bottom w:val="double" w:sz="6" w:space="0" w:color="000000"/>
              <w:right w:val="double" w:sz="6" w:space="0" w:color="000000"/>
            </w:tcBorders>
          </w:tcPr>
          <w:p>
            <w:pPr>
              <w:pStyle w:val="ListParagraph"/>
              <w:numPr>
                <w:ilvl w:val="0"/>
                <w:numId w:val="115"/>
              </w:numPr>
              <w:rPr/>
            </w:pPr>
            <w:r>
              <w:rPr/>
              <w:t xml:space="preserve">Aggiunti nuovi metadati nella risposta del </w:t>
            </w:r>
            <w:r>
              <w:rPr>
                <w:i/>
                <w:iCs/>
              </w:rPr>
              <w:t>queryDocument</w:t>
            </w:r>
            <w:r>
              <w:rPr/>
              <w:t xml:space="preserve">: </w:t>
            </w:r>
            <w:r>
              <w:rPr>
                <w:i/>
                <w:iCs/>
              </w:rPr>
              <w:t>relatedDocument</w:t>
            </w:r>
            <w:r>
              <w:rPr/>
              <w:t xml:space="preserve"> e </w:t>
            </w:r>
            <w:r>
              <w:rPr>
                <w:i/>
                <w:iCs/>
              </w:rPr>
              <w:t>isDeprecated</w:t>
            </w:r>
          </w:p>
          <w:p>
            <w:pPr>
              <w:pStyle w:val="ListParagraph"/>
              <w:numPr>
                <w:ilvl w:val="0"/>
                <w:numId w:val="115"/>
              </w:numPr>
              <w:rPr/>
            </w:pPr>
            <w:r>
              <w:rPr/>
              <w:t>Nuovo possibile valore (</w:t>
            </w:r>
            <w:r>
              <w:rPr>
                <w:i/>
                <w:iCs/>
              </w:rPr>
              <w:t>EPSS</w:t>
            </w:r>
            <w:r>
              <w:rPr/>
              <w:t xml:space="preserve">) per il tag di asserzione </w:t>
            </w:r>
            <w:r>
              <w:rPr>
                <w:i/>
                <w:iCs/>
              </w:rPr>
              <w:t>purposeOfUse</w:t>
            </w:r>
            <w:r>
              <w:rPr/>
              <w:t xml:space="preserve"> nel </w:t>
            </w:r>
            <w:r>
              <w:rPr>
                <w:i/>
                <w:iCs/>
              </w:rPr>
              <w:t>queryDocument</w:t>
            </w:r>
            <w:r>
              <w:rPr/>
              <w:t xml:space="preserve"> e </w:t>
            </w:r>
            <w:r>
              <w:rPr>
                <w:i/>
                <w:iCs/>
              </w:rPr>
              <w:t>retrieveDocument</w:t>
            </w:r>
          </w:p>
          <w:p>
            <w:pPr>
              <w:pStyle w:val="ListParagraph"/>
              <w:numPr>
                <w:ilvl w:val="0"/>
                <w:numId w:val="115"/>
              </w:numPr>
              <w:rPr/>
            </w:pPr>
            <w:r>
              <w:rPr/>
              <w:t>Nuove modalità di accesso al fascicolo in emergenza (9.3.2</w:t>
              <w:tab/>
              <w:t>Nuova modalità accesso in emergenza)</w:t>
            </w:r>
          </w:p>
          <w:p>
            <w:pPr>
              <w:pStyle w:val="ListParagraph"/>
              <w:numPr>
                <w:ilvl w:val="0"/>
                <w:numId w:val="115"/>
              </w:numPr>
              <w:rPr/>
            </w:pPr>
            <w:r>
              <w:rPr/>
              <w:t xml:space="preserve">Rimozione dei metodi </w:t>
            </w:r>
            <w:r>
              <w:rPr>
                <w:i/>
                <w:iCs/>
              </w:rPr>
              <w:t>getAccessPolicies</w:t>
            </w:r>
            <w:r>
              <w:rPr/>
              <w:t xml:space="preserve"> e </w:t>
            </w:r>
            <w:r>
              <w:rPr>
                <w:i/>
                <w:iCs/>
              </w:rPr>
              <w:t>setAccessPolicies</w:t>
            </w:r>
            <w:r>
              <w:rPr/>
              <w:t xml:space="preserve"> (javadoc PDD aggiornata di conseguenza)</w:t>
            </w:r>
          </w:p>
          <w:p>
            <w:pPr>
              <w:pStyle w:val="ListParagraph"/>
              <w:numPr>
                <w:ilvl w:val="0"/>
                <w:numId w:val="115"/>
              </w:numPr>
              <w:rPr/>
            </w:pPr>
            <w:r>
              <w:rPr/>
              <w:t>Modifica nelle specifiche dei seguenti file</w:t>
            </w:r>
          </w:p>
          <w:p>
            <w:pPr>
              <w:pStyle w:val="ListParagraph"/>
              <w:numPr>
                <w:ilvl w:val="1"/>
                <w:numId w:val="115"/>
              </w:numPr>
              <w:rPr/>
            </w:pPr>
            <w:r>
              <w:rPr/>
              <w:t>wsdl wsdl-dominio-regione/IGestoreConsensoService.wsdl</w:t>
            </w:r>
          </w:p>
          <w:p>
            <w:pPr>
              <w:pStyle w:val="ListParagraph"/>
              <w:numPr>
                <w:ilvl w:val="1"/>
                <w:numId w:val="115"/>
              </w:numPr>
              <w:rPr/>
            </w:pPr>
            <w:r>
              <w:rPr/>
              <w:t>wsdl-pddasl/IGestoreConsensoService.wsdl</w:t>
            </w:r>
          </w:p>
          <w:p>
            <w:pPr>
              <w:pStyle w:val="ListParagraph"/>
              <w:numPr>
                <w:ilvl w:val="1"/>
                <w:numId w:val="115"/>
              </w:numPr>
              <w:rPr/>
            </w:pPr>
            <w:r>
              <w:rPr/>
              <w:t>wsdl-pddasl/IGestoreConsensoService.xsd</w:t>
            </w:r>
          </w:p>
          <w:p>
            <w:pPr>
              <w:pStyle w:val="ListParagraph"/>
              <w:numPr>
                <w:ilvl w:val="0"/>
                <w:numId w:val="115"/>
              </w:numPr>
              <w:rPr/>
            </w:pPr>
            <w:r>
              <w:rPr/>
              <w:t>Aggiunti gli errori FSE-00122, FSE-00421</w:t>
            </w:r>
          </w:p>
          <w:p>
            <w:pPr>
              <w:pStyle w:val="ListParagraph"/>
              <w:numPr>
                <w:ilvl w:val="0"/>
                <w:numId w:val="115"/>
              </w:numPr>
              <w:rPr/>
            </w:pPr>
            <w:r>
              <w:rPr/>
              <w:t>Introduzione di due nuove tipologie di consenso:</w:t>
            </w:r>
          </w:p>
          <w:p>
            <w:pPr>
              <w:pStyle w:val="ListParagraph"/>
              <w:numPr>
                <w:ilvl w:val="1"/>
                <w:numId w:val="115"/>
              </w:numPr>
              <w:rPr/>
            </w:pPr>
            <w:r>
              <w:rPr/>
              <w:t>C5 (prevenzione)</w:t>
            </w:r>
          </w:p>
          <w:p>
            <w:pPr>
              <w:pStyle w:val="ListParagraph"/>
              <w:numPr>
                <w:ilvl w:val="1"/>
                <w:numId w:val="115"/>
              </w:numPr>
              <w:rPr/>
            </w:pPr>
            <w:r>
              <w:rPr/>
              <w:t>C8 (profilassi)</w:t>
            </w:r>
          </w:p>
          <w:p>
            <w:pPr>
              <w:pStyle w:val="ListParagraph"/>
              <w:numPr>
                <w:ilvl w:val="0"/>
                <w:numId w:val="115"/>
              </w:numPr>
              <w:rPr/>
            </w:pPr>
            <w:r>
              <w:rPr/>
              <w:t>Introduzione di due nuove tipologie di sotto-consenso derivanti da C5:</w:t>
            </w:r>
          </w:p>
          <w:p>
            <w:pPr>
              <w:pStyle w:val="ListParagraph"/>
              <w:numPr>
                <w:ilvl w:val="1"/>
                <w:numId w:val="115"/>
              </w:numPr>
              <w:rPr/>
            </w:pPr>
            <w:r>
              <w:rPr/>
              <w:t>C6 (Soggetti Art. 16. c1)</w:t>
            </w:r>
          </w:p>
          <w:p>
            <w:pPr>
              <w:pStyle w:val="ListParagraph"/>
              <w:numPr>
                <w:ilvl w:val="1"/>
                <w:numId w:val="115"/>
              </w:numPr>
              <w:rPr/>
            </w:pPr>
            <w:r>
              <w:rPr/>
              <w:t>C7 (Soggetti Art. 16. c2)</w:t>
            </w:r>
          </w:p>
          <w:p>
            <w:pPr>
              <w:pStyle w:val="ListParagraph"/>
              <w:numPr>
                <w:ilvl w:val="0"/>
                <w:numId w:val="115"/>
              </w:numPr>
              <w:rPr/>
            </w:pPr>
            <w:r>
              <w:rPr/>
              <w:t>Revisione e modifica del servizio setAgreements per la gestione dei consensi C5, C6, C7 e C8</w:t>
            </w:r>
          </w:p>
          <w:p>
            <w:pPr>
              <w:pStyle w:val="ListParagraph"/>
              <w:numPr>
                <w:ilvl w:val="0"/>
                <w:numId w:val="115"/>
              </w:numPr>
              <w:rPr/>
            </w:pPr>
            <w:r>
              <w:rPr/>
              <w:t>Aggiunto errore FSE-00260 sull’ammissibilità nel setAgreements dei consensi e sotto-consensi di prevenzione</w:t>
            </w:r>
          </w:p>
          <w:p>
            <w:pPr>
              <w:pStyle w:val="ListParagraph"/>
              <w:numPr>
                <w:ilvl w:val="0"/>
                <w:numId w:val="115"/>
              </w:numPr>
              <w:rPr/>
            </w:pPr>
            <w:r>
              <w:rPr/>
              <w:t>Revisione e modifica del servizio getAgreements per il recupero dei consensi</w:t>
            </w:r>
          </w:p>
          <w:p>
            <w:pPr>
              <w:pStyle w:val="ListParagraph"/>
              <w:numPr>
                <w:ilvl w:val="0"/>
                <w:numId w:val="115"/>
              </w:numPr>
              <w:rPr/>
            </w:pPr>
            <w:r>
              <w:rPr/>
              <w:t>Introduzione di nuovi ruoli</w:t>
            </w:r>
          </w:p>
          <w:p>
            <w:pPr>
              <w:pStyle w:val="ListParagraph"/>
              <w:numPr>
                <w:ilvl w:val="0"/>
                <w:numId w:val="115"/>
              </w:numPr>
              <w:rPr/>
            </w:pPr>
            <w:r>
              <w:rPr/>
              <w:t>Verifica della nuova asserzione "permission" identificativa del rapporto tra Delegato e Delegante e relativi controlli di coerenza</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GEN:</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KO</w:t>
            </w:r>
          </w:p>
          <w:p>
            <w:pPr>
              <w:pStyle w:val="Normal"/>
              <w:keepLines w:val="false"/>
              <w:numPr>
                <w:ilvl w:val="3"/>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TUT:</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TER:</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KO</w:t>
            </w:r>
          </w:p>
          <w:p>
            <w:pPr>
              <w:pStyle w:val="Normal"/>
              <w:keepLines w:val="false"/>
              <w:numPr>
                <w:ilvl w:val="3"/>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ListParagraph"/>
              <w:numPr>
                <w:ilvl w:val="0"/>
                <w:numId w:val="115"/>
              </w:numPr>
              <w:rPr/>
            </w:pPr>
            <w:r>
              <w:rPr/>
              <w:t>Specifiche di errore su controlli asserzione “permission” per i servizi setAgreement, getAgreement, queryDocument, retrieveDocument, blindDocument e getAccessLog</w:t>
            </w:r>
          </w:p>
          <w:p>
            <w:pPr>
              <w:pStyle w:val="ListParagraph"/>
              <w:numPr>
                <w:ilvl w:val="0"/>
                <w:numId w:val="115"/>
              </w:numPr>
              <w:rPr>
                <w:rFonts w:cs="Calibri"/>
                <w:color w:themeColor="text1" w:val="000000"/>
              </w:rPr>
            </w:pPr>
            <w:r>
              <w:rPr>
                <w:rFonts w:cs="Calibri"/>
                <w:color w:themeColor="text1" w:val="000000"/>
              </w:rPr>
              <w:t>Aggiunto oscuramento/deoscuramento delle ricette collegate ad un documento in fase di oscuramento/deoscuramento dello stesso</w:t>
            </w:r>
          </w:p>
          <w:p>
            <w:pPr>
              <w:pStyle w:val="ListParagraph"/>
              <w:numPr>
                <w:ilvl w:val="0"/>
                <w:numId w:val="115"/>
              </w:numPr>
              <w:rPr/>
            </w:pPr>
            <w:r>
              <w:rPr>
                <w:rFonts w:cs="Calibri"/>
                <w:color w:themeColor="text1" w:val="000000"/>
              </w:rPr>
              <w:t xml:space="preserve">Maggiore dettaglio nelle tabelle dei servizi coinvolti </w:t>
            </w:r>
            <w:r>
              <w:rPr/>
              <w:t>setAgreement, getAgreement, queryDocument, retrieveDocument, blindDocument e getAccessLog</w:t>
            </w:r>
          </w:p>
          <w:p>
            <w:pPr>
              <w:pStyle w:val="ListParagraph"/>
              <w:numPr>
                <w:ilvl w:val="0"/>
                <w:numId w:val="115"/>
              </w:numPr>
              <w:spacing w:before="0" w:after="200"/>
              <w:contextualSpacing/>
              <w:rPr/>
            </w:pPr>
            <w:r>
              <w:rPr/>
              <w:t>Aggiunto nuovo parametro patientId nel servizio retrieveDocument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 xml:space="preserve">Aggiornato endpoint PDD </w:t>
            </w:r>
            <w:r>
              <w:rPr/>
              <w:t>collaudo</w:t>
            </w:r>
          </w:p>
          <w:p>
            <w:pPr>
              <w:pStyle w:val="Normal"/>
              <w:spacing w:before="120" w:after="0"/>
              <w:ind w:left="0"/>
              <w:jc w:val="both"/>
              <w:rPr/>
            </w:pPr>
            <w:r>
              <w:rPr/>
              <w:t>Aggiunti nuovi controlli per Ciclo di Vita Prescrittivo per prestazioni specialistiche di tutto il catalogo regionale, in particolare:</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w:t>
            </w:r>
          </w:p>
          <w:p>
            <w:pPr>
              <w:pStyle w:val="ListParagraph"/>
              <w:numPr>
                <w:ilvl w:val="1"/>
                <w:numId w:val="113"/>
              </w:numPr>
              <w:spacing w:before="0" w:after="200"/>
              <w:contextualSpacing/>
              <w:rPr>
                <w:rFonts w:ascii="Times New Roman" w:hAnsi="Times New Roman" w:eastAsia="Times New Roman"/>
                <w:sz w:val="20"/>
                <w:szCs w:val="20"/>
                <w:lang w:eastAsia="it-IT"/>
              </w:rPr>
            </w:pPr>
            <w:r>
              <w:rPr>
                <w:rFonts w:eastAsia="Times New Roman" w:ascii="Times New Roman" w:hAnsi="Times New Roman"/>
                <w:sz w:val="20"/>
                <w:szCs w:val="20"/>
                <w:lang w:eastAsia="it-IT"/>
              </w:rPr>
              <w:t>tipoAccesso obbligatorio</w:t>
            </w:r>
          </w:p>
        </w:tc>
      </w:tr>
    </w:tbl>
    <w:p>
      <w:pPr>
        <w:pStyle w:val="Titol2senzanum"/>
        <w:numPr>
          <w:ilvl w:val="0"/>
          <w:numId w:val="0"/>
        </w:numPr>
        <w:ind w:hanging="851" w:left="851"/>
        <w:rPr/>
      </w:pPr>
      <w:r>
        <w:rPr/>
        <w:t>Modifiche Previste</w:t>
      </w:r>
    </w:p>
    <w:p>
      <w:pPr>
        <w:pStyle w:val="Normal"/>
        <w:rPr/>
      </w:pPr>
      <w:r>
        <w:rPr/>
        <w:t>Nessuna.</w:t>
      </w:r>
    </w:p>
    <w:p>
      <w:pPr>
        <w:pStyle w:val="Normal"/>
        <w:rPr>
          <w:u w:val="single"/>
        </w:rPr>
      </w:pPr>
      <w:r>
        <w:rPr>
          <w:u w:val="single"/>
        </w:rPr>
      </w:r>
    </w:p>
    <w:p>
      <w:pPr>
        <w:pStyle w:val="Normal"/>
        <w:rPr/>
      </w:pPr>
      <w:r>
        <w:rPr/>
      </w:r>
    </w:p>
    <w:p>
      <w:pPr>
        <w:pStyle w:val="Normal"/>
        <w:rPr/>
      </w:pPr>
      <w:r>
        <w:rPr/>
      </w:r>
      <w:r>
        <w:br w:type="page"/>
      </w:r>
    </w:p>
    <w:p>
      <w:pPr>
        <w:pStyle w:val="Titol1senzanum"/>
        <w:numPr>
          <w:ilvl w:val="0"/>
          <w:numId w:val="0"/>
        </w:numPr>
        <w:spacing w:before="0" w:after="120"/>
        <w:ind w:hanging="567" w:left="567"/>
        <w:jc w:val="center"/>
        <w:outlineLvl w:val="0"/>
        <w:rPr/>
      </w:pPr>
      <w:r>
        <w:rPr/>
        <w:t>Indice dei Contenuti</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kern w:val="2"/>
              <w:sz w:val="22"/>
              <w:szCs w:val="22"/>
            </w:rPr>
          </w:pPr>
          <w:r>
            <w:fldChar w:fldCharType="begin"/>
          </w:r>
          <w:r>
            <w:rPr>
              <w:webHidden/>
              <w:rStyle w:val="Saltoaindice"/>
              <w:vanish w:val="false"/>
            </w:rPr>
            <w:instrText xml:space="preserve"> TOC \z \o "1-3" \h</w:instrText>
          </w:r>
          <w:r>
            <w:rPr>
              <w:webHidden/>
              <w:rStyle w:val="Saltoaindice"/>
              <w:vanish w:val="false"/>
            </w:rPr>
            <w:fldChar w:fldCharType="separate"/>
          </w:r>
          <w:hyperlink w:anchor="_Toc173420490">
            <w:r>
              <w:rPr>
                <w:webHidden/>
                <w:rStyle w:val="Saltoaindice"/>
                <w:vanish w:val="false"/>
              </w:rPr>
              <w:t>0.</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Introduzione</w:t>
            </w:r>
            <w:r>
              <w:rPr>
                <w:rStyle w:val="Saltoaindice"/>
                <w:vanish w:val="false"/>
              </w:rPr>
              <w:tab/>
            </w:r>
            <w:r>
              <w:rPr>
                <w:webHidden/>
              </w:rPr>
              <w:fldChar w:fldCharType="begin"/>
            </w:r>
            <w:r>
              <w:rPr>
                <w:webHidden/>
              </w:rPr>
              <w:instrText xml:space="preserve">PAGEREF _Toc173420490 \h</w:instrText>
            </w:r>
            <w:r>
              <w:rPr>
                <w:webHidden/>
              </w:rPr>
              <w:fldChar w:fldCharType="separate"/>
            </w:r>
            <w:r>
              <w:rPr>
                <w:rStyle w:val="Saltoaindice"/>
                <w:vanish/>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1">
            <w:r>
              <w:rPr>
                <w:webHidden/>
                <w:rStyle w:val="Saltoaindice"/>
                <w:vanish w:val="false"/>
              </w:rPr>
              <w:t>1.</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Scopo e Campo di Applicazione</w:t>
            </w:r>
            <w:r>
              <w:rPr>
                <w:rStyle w:val="Saltoaindice"/>
                <w:vanish w:val="false"/>
              </w:rPr>
              <w:tab/>
            </w:r>
            <w:r>
              <w:rPr>
                <w:webHidden/>
              </w:rPr>
              <w:fldChar w:fldCharType="begin"/>
            </w:r>
            <w:r>
              <w:rPr>
                <w:webHidden/>
              </w:rPr>
              <w:instrText xml:space="preserve">PAGEREF _Toc173420491 \h</w:instrText>
            </w:r>
            <w:r>
              <w:rPr>
                <w:webHidden/>
              </w:rPr>
              <w:fldChar w:fldCharType="separate"/>
            </w:r>
            <w:r>
              <w:rPr>
                <w:rStyle w:val="Saltoaindice"/>
                <w:vanish/>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2">
            <w:r>
              <w:rPr>
                <w:webHidden/>
                <w:rStyle w:val="Saltoaindice"/>
                <w:vanish w:val="false"/>
              </w:rPr>
              <w:t>2.</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Riferimenti</w:t>
            </w:r>
            <w:r>
              <w:rPr>
                <w:rStyle w:val="Saltoaindice"/>
                <w:vanish w:val="false"/>
              </w:rPr>
              <w:tab/>
            </w:r>
            <w:r>
              <w:rPr>
                <w:webHidden/>
              </w:rPr>
              <w:fldChar w:fldCharType="begin"/>
            </w:r>
            <w:r>
              <w:rPr>
                <w:webHidden/>
              </w:rPr>
              <w:instrText xml:space="preserve">PAGEREF _Toc173420492 \h</w:instrText>
            </w:r>
            <w:r>
              <w:rPr>
                <w:webHidden/>
              </w:rPr>
              <w:fldChar w:fldCharType="separate"/>
            </w:r>
            <w:r>
              <w:rPr>
                <w:rStyle w:val="Saltoaindice"/>
                <w:vanish/>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3">
            <w:r>
              <w:rPr>
                <w:webHidden/>
                <w:rStyle w:val="Saltoaindice"/>
                <w:vanish w:val="false"/>
              </w:rPr>
              <w:t>3.</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Termini e definizioni</w:t>
            </w:r>
            <w:r>
              <w:rPr>
                <w:rStyle w:val="Saltoaindice"/>
                <w:vanish w:val="false"/>
              </w:rPr>
              <w:tab/>
            </w:r>
            <w:r>
              <w:rPr>
                <w:webHidden/>
              </w:rPr>
              <w:fldChar w:fldCharType="begin"/>
            </w:r>
            <w:r>
              <w:rPr>
                <w:webHidden/>
              </w:rPr>
              <w:instrText xml:space="preserve">PAGEREF _Toc173420493 \h</w:instrText>
            </w:r>
            <w:r>
              <w:rPr>
                <w:webHidden/>
              </w:rPr>
              <w:fldChar w:fldCharType="separate"/>
            </w:r>
            <w:r>
              <w:rPr>
                <w:rStyle w:val="Saltoaindice"/>
                <w:vanish/>
              </w:rPr>
              <w:t>26</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4">
            <w:r>
              <w:rPr>
                <w:webHidden/>
                <w:rStyle w:val="Saltoaindice"/>
                <w:vanish w:val="false"/>
              </w:rPr>
              <w:t>4.</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Premessa</w:t>
            </w:r>
            <w:r>
              <w:rPr>
                <w:rStyle w:val="Saltoaindice"/>
                <w:vanish w:val="false"/>
              </w:rPr>
              <w:tab/>
            </w:r>
            <w:r>
              <w:rPr>
                <w:webHidden/>
              </w:rPr>
              <w:fldChar w:fldCharType="begin"/>
            </w:r>
            <w:r>
              <w:rPr>
                <w:webHidden/>
              </w:rPr>
              <w:instrText xml:space="preserve">PAGEREF _Toc173420494 \h</w:instrText>
            </w:r>
            <w:r>
              <w:rPr>
                <w:webHidden/>
              </w:rPr>
              <w:fldChar w:fldCharType="separate"/>
            </w:r>
            <w:r>
              <w:rPr>
                <w:rStyle w:val="Saltoaindice"/>
                <w:vanish/>
              </w:rPr>
              <w:t>27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5">
            <w:r>
              <w:rPr>
                <w:webHidden/>
                <w:rStyle w:val="Saltoaindice"/>
                <w:vanish w:val="false"/>
              </w:rPr>
              <w:t>5.</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Generalità sull’integrazione dei servizi</w:t>
            </w:r>
            <w:r>
              <w:rPr>
                <w:rStyle w:val="Saltoaindice"/>
                <w:vanish w:val="false"/>
              </w:rPr>
              <w:tab/>
            </w:r>
            <w:r>
              <w:rPr>
                <w:webHidden/>
              </w:rPr>
              <w:fldChar w:fldCharType="begin"/>
            </w:r>
            <w:r>
              <w:rPr>
                <w:webHidden/>
              </w:rPr>
              <w:instrText xml:space="preserve">PAGEREF _Toc173420495 \h</w:instrText>
            </w:r>
            <w:r>
              <w:rPr>
                <w:webHidden/>
              </w:rPr>
              <w:fldChar w:fldCharType="separate"/>
            </w:r>
            <w:r>
              <w:rPr>
                <w:rStyle w:val="Saltoaindice"/>
                <w:vanish/>
              </w:rPr>
              <w:t>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496">
            <w:r>
              <w:rPr>
                <w:webHidden/>
                <w:rStyle w:val="Saltoaindice"/>
                <w:vanish w:val="false"/>
              </w:rPr>
              <w:t>5.1.</w:t>
            </w:r>
            <w:r>
              <w:rPr>
                <w:rStyle w:val="Saltoaindice"/>
                <w:rFonts w:eastAsia="" w:cs="" w:ascii="Calibri" w:hAnsi="Calibri" w:asciiTheme="minorHAnsi" w:cstheme="minorBidi" w:eastAsiaTheme="minorEastAsia" w:hAnsiTheme="minorHAnsi"/>
                <w:kern w:val="2"/>
                <w:sz w:val="22"/>
                <w:szCs w:val="22"/>
              </w:rPr>
              <w:tab/>
            </w:r>
            <w:r>
              <w:rPr>
                <w:rStyle w:val="Saltoaindice"/>
              </w:rPr>
              <w:t>Servizi esposti sulla PDD ASL</w:t>
            </w:r>
            <w:r>
              <w:rPr>
                <w:rStyle w:val="Saltoaindice"/>
                <w:vanish w:val="false"/>
              </w:rPr>
              <w:tab/>
            </w:r>
            <w:r>
              <w:rPr>
                <w:webHidden/>
              </w:rPr>
              <w:fldChar w:fldCharType="begin"/>
            </w:r>
            <w:r>
              <w:rPr>
                <w:webHidden/>
              </w:rPr>
              <w:instrText xml:space="preserve">PAGEREF _Toc173420496 \h</w:instrText>
            </w:r>
            <w:r>
              <w:rPr>
                <w:webHidden/>
              </w:rPr>
              <w:fldChar w:fldCharType="separate"/>
            </w:r>
            <w:r>
              <w:rPr>
                <w:rStyle w:val="Saltoaindice"/>
                <w:vanish/>
              </w:rPr>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7">
            <w:r>
              <w:rPr>
                <w:webHidden/>
                <w:rStyle w:val="Saltoaindice"/>
                <w:vanish w:val="false"/>
              </w:rPr>
              <w:t>5.1.1</w:t>
            </w:r>
            <w:r>
              <w:rPr>
                <w:rStyle w:val="Saltoaindice"/>
                <w:rFonts w:eastAsia="" w:cs="" w:ascii="Calibri" w:hAnsi="Calibri" w:asciiTheme="minorHAnsi" w:cstheme="minorBidi" w:eastAsiaTheme="minorEastAsia" w:hAnsiTheme="minorHAnsi"/>
                <w:kern w:val="2"/>
                <w:sz w:val="22"/>
                <w:szCs w:val="22"/>
              </w:rPr>
              <w:tab/>
            </w:r>
            <w:r>
              <w:rPr>
                <w:rStyle w:val="Saltoaindice"/>
              </w:rPr>
              <w:t>WS-Security sulla PDD-ASL</w:t>
            </w:r>
            <w:r>
              <w:rPr>
                <w:rStyle w:val="Saltoaindice"/>
                <w:vanish w:val="false"/>
              </w:rPr>
              <w:tab/>
            </w:r>
            <w:r>
              <w:rPr>
                <w:webHidden/>
              </w:rPr>
              <w:fldChar w:fldCharType="begin"/>
            </w:r>
            <w:r>
              <w:rPr>
                <w:webHidden/>
              </w:rPr>
              <w:instrText xml:space="preserve">PAGEREF _Toc173420497 \h</w:instrText>
            </w:r>
            <w:r>
              <w:rPr>
                <w:webHidden/>
              </w:rPr>
              <w:fldChar w:fldCharType="separate"/>
            </w:r>
            <w:r>
              <w:rPr>
                <w:rStyle w:val="Saltoaindice"/>
                <w:vanish/>
              </w:rPr>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8">
            <w:r>
              <w:rPr>
                <w:webHidden/>
                <w:rStyle w:val="Saltoaindice"/>
                <w:vanish w:val="false"/>
              </w:rPr>
              <w:t>5.1.2</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request con firma di Timestamp</w:t>
            </w:r>
            <w:r>
              <w:rPr>
                <w:rStyle w:val="Saltoaindice"/>
                <w:vanish w:val="false"/>
              </w:rPr>
              <w:tab/>
            </w:r>
            <w:r>
              <w:rPr>
                <w:webHidden/>
              </w:rPr>
              <w:fldChar w:fldCharType="begin"/>
            </w:r>
            <w:r>
              <w:rPr>
                <w:webHidden/>
              </w:rPr>
              <w:instrText xml:space="preserve">PAGEREF _Toc173420498 \h</w:instrText>
            </w:r>
            <w:r>
              <w:rPr>
                <w:webHidden/>
              </w:rPr>
              <w:fldChar w:fldCharType="separate"/>
            </w:r>
            <w:r>
              <w:rPr>
                <w:rStyle w:val="Saltoaindice"/>
                <w:vanish/>
              </w:rPr>
              <w:t>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9">
            <w:r>
              <w:rPr>
                <w:webHidden/>
                <w:rStyle w:val="Saltoaindice"/>
                <w:vanish w:val="false"/>
              </w:rPr>
              <w:t>5.1.3</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request con firma di ulteriori tag</w:t>
            </w:r>
            <w:r>
              <w:rPr>
                <w:rStyle w:val="Saltoaindice"/>
                <w:vanish w:val="false"/>
              </w:rPr>
              <w:tab/>
            </w:r>
            <w:r>
              <w:rPr>
                <w:webHidden/>
              </w:rPr>
              <w:fldChar w:fldCharType="begin"/>
            </w:r>
            <w:r>
              <w:rPr>
                <w:webHidden/>
              </w:rPr>
              <w:instrText xml:space="preserve">PAGEREF _Toc173420499 \h</w:instrText>
            </w:r>
            <w:r>
              <w:rPr>
                <w:webHidden/>
              </w:rPr>
              <w:fldChar w:fldCharType="separate"/>
            </w:r>
            <w:r>
              <w:rPr>
                <w:rStyle w:val="Saltoaindice"/>
                <w:vanish/>
              </w:rPr>
              <w:t>31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0">
            <w:r>
              <w:rPr>
                <w:webHidden/>
                <w:rStyle w:val="Saltoaindice"/>
                <w:vanish w:val="false"/>
              </w:rPr>
              <w:t>5.1.4</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response</w:t>
            </w:r>
            <w:r>
              <w:rPr>
                <w:rStyle w:val="Saltoaindice"/>
                <w:vanish w:val="false"/>
              </w:rPr>
              <w:tab/>
            </w:r>
            <w:r>
              <w:rPr>
                <w:webHidden/>
              </w:rPr>
              <w:fldChar w:fldCharType="begin"/>
            </w:r>
            <w:r>
              <w:rPr>
                <w:webHidden/>
              </w:rPr>
              <w:instrText xml:space="preserve">PAGEREF _Toc173420500 \h</w:instrText>
            </w:r>
            <w:r>
              <w:rPr>
                <w:webHidden/>
              </w:rPr>
              <w:fldChar w:fldCharType="separate"/>
            </w:r>
            <w:r>
              <w:rPr>
                <w:rStyle w:val="Saltoaindice"/>
                <w:vanish/>
              </w:rPr>
              <w:t>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1">
            <w:r>
              <w:rPr>
                <w:webHidden/>
                <w:rStyle w:val="Saltoaindice"/>
                <w:vanish w:val="false"/>
              </w:rPr>
              <w:t>5.1.5</w:t>
            </w:r>
            <w:r>
              <w:rPr>
                <w:rStyle w:val="Saltoaindice"/>
                <w:rFonts w:eastAsia="" w:cs="" w:ascii="Calibri" w:hAnsi="Calibri" w:asciiTheme="minorHAnsi" w:cstheme="minorBidi" w:eastAsiaTheme="minorEastAsia" w:hAnsiTheme="minorHAnsi"/>
                <w:kern w:val="2"/>
                <w:sz w:val="22"/>
                <w:szCs w:val="22"/>
              </w:rPr>
              <w:tab/>
            </w:r>
            <w:r>
              <w:rPr>
                <w:rStyle w:val="Saltoaindice"/>
              </w:rPr>
              <w:t>Creazione Ws-Security header in tecnologia Java</w:t>
            </w:r>
            <w:r>
              <w:rPr>
                <w:rStyle w:val="Saltoaindice"/>
                <w:vanish w:val="false"/>
              </w:rPr>
              <w:tab/>
            </w:r>
            <w:r>
              <w:rPr>
                <w:webHidden/>
              </w:rPr>
              <w:fldChar w:fldCharType="begin"/>
            </w:r>
            <w:r>
              <w:rPr>
                <w:webHidden/>
              </w:rPr>
              <w:instrText xml:space="preserve">PAGEREF _Toc173420501 \h</w:instrText>
            </w:r>
            <w:r>
              <w:rPr>
                <w:webHidden/>
              </w:rPr>
              <w:fldChar w:fldCharType="separate"/>
            </w:r>
            <w:r>
              <w:rPr>
                <w:rStyle w:val="Saltoaindice"/>
                <w:vanish/>
              </w:rPr>
              <w:t>36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2">
            <w:r>
              <w:rPr>
                <w:webHidden/>
                <w:rStyle w:val="Saltoaindice"/>
                <w:vanish w:val="false"/>
              </w:rPr>
              <w:t>5.2.</w:t>
            </w:r>
            <w:r>
              <w:rPr>
                <w:rStyle w:val="Saltoaindice"/>
                <w:rFonts w:eastAsia="" w:cs="" w:ascii="Calibri" w:hAnsi="Calibri" w:asciiTheme="minorHAnsi" w:cstheme="minorBidi" w:eastAsiaTheme="minorEastAsia" w:hAnsiTheme="minorHAnsi"/>
                <w:kern w:val="2"/>
                <w:sz w:val="22"/>
                <w:szCs w:val="22"/>
              </w:rPr>
              <w:tab/>
            </w:r>
            <w:r>
              <w:rPr>
                <w:rStyle w:val="Saltoaindice"/>
              </w:rPr>
              <w:t>Servizi esposti sulla PDD REGIONALE</w:t>
            </w:r>
            <w:r>
              <w:rPr>
                <w:rStyle w:val="Saltoaindice"/>
                <w:vanish w:val="false"/>
              </w:rPr>
              <w:tab/>
            </w:r>
            <w:r>
              <w:rPr>
                <w:webHidden/>
              </w:rPr>
              <w:fldChar w:fldCharType="begin"/>
            </w:r>
            <w:r>
              <w:rPr>
                <w:webHidden/>
              </w:rPr>
              <w:instrText xml:space="preserve">PAGEREF _Toc173420502 \h</w:instrText>
            </w:r>
            <w:r>
              <w:rPr>
                <w:webHidden/>
              </w:rPr>
              <w:fldChar w:fldCharType="separate"/>
            </w:r>
            <w:r>
              <w:rPr>
                <w:rStyle w:val="Saltoaindice"/>
                <w:vanish/>
              </w:rPr>
              <w:t>42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3">
            <w:r>
              <w:rPr>
                <w:webHidden/>
                <w:rStyle w:val="Saltoaindice"/>
                <w:vanish w:val="false"/>
              </w:rPr>
              <w:t>5.3.</w:t>
            </w:r>
            <w:r>
              <w:rPr>
                <w:rStyle w:val="Saltoaindice"/>
                <w:rFonts w:eastAsia="" w:cs="" w:ascii="Calibri" w:hAnsi="Calibri" w:asciiTheme="minorHAnsi" w:cstheme="minorBidi" w:eastAsiaTheme="minorEastAsia" w:hAnsiTheme="minorHAnsi"/>
                <w:kern w:val="2"/>
                <w:sz w:val="22"/>
                <w:szCs w:val="22"/>
              </w:rPr>
              <w:tab/>
            </w:r>
            <w:r>
              <w:rPr>
                <w:rStyle w:val="Saltoaindice"/>
              </w:rPr>
              <w:t>Servizi interni al dominio Regione Puglia</w:t>
            </w:r>
            <w:r>
              <w:rPr>
                <w:rStyle w:val="Saltoaindice"/>
                <w:vanish w:val="false"/>
              </w:rPr>
              <w:tab/>
            </w:r>
            <w:r>
              <w:rPr>
                <w:webHidden/>
              </w:rPr>
              <w:fldChar w:fldCharType="begin"/>
            </w:r>
            <w:r>
              <w:rPr>
                <w:webHidden/>
              </w:rPr>
              <w:instrText xml:space="preserve">PAGEREF _Toc173420503 \h</w:instrText>
            </w:r>
            <w:r>
              <w:rPr>
                <w:webHidden/>
              </w:rPr>
              <w:fldChar w:fldCharType="separate"/>
            </w:r>
            <w:r>
              <w:rPr>
                <w:rStyle w:val="Saltoaindice"/>
                <w:vanish/>
              </w:rPr>
              <w:t>42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4">
            <w:r>
              <w:rPr>
                <w:webHidden/>
                <w:rStyle w:val="Saltoaindice"/>
                <w:vanish w:val="false"/>
              </w:rPr>
              <w:t>5.3.1</w:t>
            </w:r>
            <w:r>
              <w:rPr>
                <w:rStyle w:val="Saltoaindice"/>
                <w:rFonts w:eastAsia="" w:cs="" w:ascii="Calibri" w:hAnsi="Calibri" w:asciiTheme="minorHAnsi" w:cstheme="minorBidi" w:eastAsiaTheme="minorEastAsia" w:hAnsiTheme="minorHAnsi"/>
                <w:kern w:val="2"/>
                <w:sz w:val="22"/>
                <w:szCs w:val="22"/>
              </w:rPr>
              <w:tab/>
            </w:r>
            <w:r>
              <w:rPr>
                <w:rStyle w:val="Saltoaindice"/>
              </w:rPr>
              <w:t>WS-Security</w:t>
            </w:r>
            <w:r>
              <w:rPr>
                <w:rStyle w:val="Saltoaindice"/>
                <w:vanish w:val="false"/>
              </w:rPr>
              <w:tab/>
            </w:r>
            <w:r>
              <w:rPr>
                <w:webHidden/>
              </w:rPr>
              <w:fldChar w:fldCharType="begin"/>
            </w:r>
            <w:r>
              <w:rPr>
                <w:webHidden/>
              </w:rPr>
              <w:instrText xml:space="preserve">PAGEREF _Toc173420504 \h</w:instrText>
            </w:r>
            <w:r>
              <w:rPr>
                <w:webHidden/>
              </w:rPr>
              <w:fldChar w:fldCharType="separate"/>
            </w:r>
            <w:r>
              <w:rPr>
                <w:rStyle w:val="Saltoaindice"/>
                <w:vanish/>
              </w:rPr>
              <w:t>42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5">
            <w:r>
              <w:rPr>
                <w:webHidden/>
                <w:rStyle w:val="Saltoaindice"/>
                <w:vanish w:val="false"/>
              </w:rPr>
              <w:t>6.</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Endpoint di riferimento</w:t>
            </w:r>
            <w:r>
              <w:rPr>
                <w:rStyle w:val="Saltoaindice"/>
                <w:vanish w:val="false"/>
              </w:rPr>
              <w:tab/>
            </w:r>
            <w:r>
              <w:rPr>
                <w:webHidden/>
              </w:rPr>
              <w:fldChar w:fldCharType="begin"/>
            </w:r>
            <w:r>
              <w:rPr>
                <w:webHidden/>
              </w:rPr>
              <w:instrText xml:space="preserve">PAGEREF _Toc173420505 \h</w:instrText>
            </w:r>
            <w:r>
              <w:rPr>
                <w:webHidden/>
              </w:rPr>
              <w:fldChar w:fldCharType="separate"/>
            </w:r>
            <w:r>
              <w:rPr>
                <w:rStyle w:val="Saltoaindice"/>
                <w:vanish/>
              </w:rPr>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6">
            <w:r>
              <w:rPr>
                <w:webHidden/>
                <w:rStyle w:val="Saltoaindice"/>
                <w:bCs/>
                <w:vanish w:val="false"/>
              </w:rPr>
              <w:t>6.1.</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PDD ASL</w:t>
            </w:r>
            <w:r>
              <w:rPr>
                <w:rStyle w:val="Saltoaindice"/>
                <w:vanish w:val="false"/>
              </w:rPr>
              <w:tab/>
            </w:r>
            <w:r>
              <w:rPr>
                <w:webHidden/>
              </w:rPr>
              <w:fldChar w:fldCharType="begin"/>
            </w:r>
            <w:r>
              <w:rPr>
                <w:webHidden/>
              </w:rPr>
              <w:instrText xml:space="preserve">PAGEREF _Toc173420506 \h</w:instrText>
            </w:r>
            <w:r>
              <w:rPr>
                <w:webHidden/>
              </w:rPr>
              <w:fldChar w:fldCharType="separate"/>
            </w:r>
            <w:r>
              <w:rPr>
                <w:rStyle w:val="Saltoaindice"/>
                <w:vanish/>
              </w:rPr>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7">
            <w:r>
              <w:rPr>
                <w:webHidden/>
                <w:rStyle w:val="Saltoaindice"/>
                <w:bCs/>
                <w:vanish w:val="false"/>
              </w:rPr>
              <w:t>6.2.</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PDD REGIONALE</w:t>
            </w:r>
            <w:r>
              <w:rPr>
                <w:rStyle w:val="Saltoaindice"/>
                <w:vanish w:val="false"/>
              </w:rPr>
              <w:tab/>
            </w:r>
            <w:r>
              <w:rPr>
                <w:webHidden/>
              </w:rPr>
              <w:fldChar w:fldCharType="begin"/>
            </w:r>
            <w:r>
              <w:rPr>
                <w:webHidden/>
              </w:rPr>
              <w:instrText xml:space="preserve">PAGEREF _Toc173420507 \h</w:instrText>
            </w:r>
            <w:r>
              <w:rPr>
                <w:webHidden/>
              </w:rPr>
              <w:fldChar w:fldCharType="separate"/>
            </w:r>
            <w:r>
              <w:rPr>
                <w:rStyle w:val="Saltoaindice"/>
                <w:vanish/>
              </w:rPr>
              <w:t>47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8">
            <w:r>
              <w:rPr>
                <w:webHidden/>
                <w:rStyle w:val="Saltoaindice"/>
                <w:bCs/>
                <w:vanish w:val="false"/>
              </w:rPr>
              <w:t>6.3.</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interni al dominio Regione Puglia</w:t>
            </w:r>
            <w:r>
              <w:rPr>
                <w:rStyle w:val="Saltoaindice"/>
                <w:vanish w:val="false"/>
              </w:rPr>
              <w:tab/>
            </w:r>
            <w:r>
              <w:rPr>
                <w:webHidden/>
              </w:rPr>
              <w:fldChar w:fldCharType="begin"/>
            </w:r>
            <w:r>
              <w:rPr>
                <w:webHidden/>
              </w:rPr>
              <w:instrText xml:space="preserve">PAGEREF _Toc173420508 \h</w:instrText>
            </w:r>
            <w:r>
              <w:rPr>
                <w:webHidden/>
              </w:rPr>
              <w:fldChar w:fldCharType="separate"/>
            </w:r>
            <w:r>
              <w:rPr>
                <w:rStyle w:val="Saltoaindice"/>
                <w:vanish/>
              </w:rPr>
              <w:t>47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9">
            <w:r>
              <w:rPr>
                <w:webHidden/>
                <w:rStyle w:val="Saltoaindice"/>
                <w:vanish w:val="false"/>
              </w:rPr>
              <w:t>7.</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Interfaccia Applicativa</w:t>
            </w:r>
            <w:r>
              <w:rPr>
                <w:rStyle w:val="Saltoaindice"/>
                <w:vanish w:val="false"/>
              </w:rPr>
              <w:tab/>
            </w:r>
            <w:r>
              <w:rPr>
                <w:webHidden/>
              </w:rPr>
              <w:fldChar w:fldCharType="begin"/>
            </w:r>
            <w:r>
              <w:rPr>
                <w:webHidden/>
              </w:rPr>
              <w:instrText xml:space="preserve">PAGEREF _Toc173420509 \h</w:instrText>
            </w:r>
            <w:r>
              <w:rPr>
                <w:webHidden/>
              </w:rPr>
              <w:fldChar w:fldCharType="separate"/>
            </w:r>
            <w:r>
              <w:rPr>
                <w:rStyle w:val="Saltoaindice"/>
                <w:vanish/>
              </w:rPr>
              <w:t>49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0">
            <w:r>
              <w:rPr>
                <w:webHidden/>
                <w:rStyle w:val="Saltoaindice"/>
                <w:vanish w:val="false"/>
              </w:rPr>
              <w:t>8.</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Interazione Client-Server per la componente FSE</w:t>
            </w:r>
            <w:r>
              <w:rPr>
                <w:rStyle w:val="Saltoaindice"/>
                <w:vanish w:val="false"/>
              </w:rPr>
              <w:tab/>
            </w:r>
            <w:r>
              <w:rPr>
                <w:webHidden/>
              </w:rPr>
              <w:fldChar w:fldCharType="begin"/>
            </w:r>
            <w:r>
              <w:rPr>
                <w:webHidden/>
              </w:rPr>
              <w:instrText xml:space="preserve">PAGEREF _Toc173420510 \h</w:instrText>
            </w:r>
            <w:r>
              <w:rPr>
                <w:webHidden/>
              </w:rPr>
              <w:fldChar w:fldCharType="separate"/>
            </w:r>
            <w:r>
              <w:rPr>
                <w:rStyle w:val="Saltoaindice"/>
                <w:vanish/>
              </w:rPr>
              <w:t>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1">
            <w:r>
              <w:rPr>
                <w:webHidden/>
                <w:rStyle w:val="Saltoaindice"/>
                <w:vanish w:val="false"/>
              </w:rPr>
              <w:t>8.1.</w:t>
            </w:r>
            <w:r>
              <w:rPr>
                <w:rStyle w:val="Saltoaindice"/>
                <w:rFonts w:eastAsia="" w:cs="" w:ascii="Calibri" w:hAnsi="Calibri" w:asciiTheme="minorHAnsi" w:cstheme="minorBidi" w:eastAsiaTheme="minorEastAsia" w:hAnsiTheme="minorHAnsi"/>
                <w:kern w:val="2"/>
                <w:sz w:val="22"/>
                <w:szCs w:val="22"/>
              </w:rPr>
              <w:tab/>
            </w:r>
            <w:r>
              <w:rPr>
                <w:rStyle w:val="Saltoaindice"/>
              </w:rPr>
              <w:t>Elenco degli attributi per le asserzioni</w:t>
            </w:r>
            <w:r>
              <w:rPr>
                <w:rStyle w:val="Saltoaindice"/>
                <w:vanish w:val="false"/>
              </w:rPr>
              <w:tab/>
            </w:r>
            <w:r>
              <w:rPr>
                <w:webHidden/>
              </w:rPr>
              <w:fldChar w:fldCharType="begin"/>
            </w:r>
            <w:r>
              <w:rPr>
                <w:webHidden/>
              </w:rPr>
              <w:instrText xml:space="preserve">PAGEREF _Toc173420511 \h</w:instrText>
            </w:r>
            <w:r>
              <w:rPr>
                <w:webHidden/>
              </w:rPr>
              <w:fldChar w:fldCharType="separate"/>
            </w:r>
            <w:r>
              <w:rPr>
                <w:rStyle w:val="Saltoaindice"/>
                <w:vanish/>
              </w:rPr>
              <w:t>52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2">
            <w:r>
              <w:rPr>
                <w:webHidden/>
                <w:rStyle w:val="Saltoaindice"/>
                <w:vanish w:val="false"/>
              </w:rPr>
              <w:t>8.2.</w:t>
            </w:r>
            <w:r>
              <w:rPr>
                <w:rStyle w:val="Saltoaindice"/>
                <w:rFonts w:eastAsia="" w:cs="" w:ascii="Calibri" w:hAnsi="Calibri" w:asciiTheme="minorHAnsi" w:cstheme="minorBidi" w:eastAsiaTheme="minorEastAsia" w:hAnsiTheme="minorHAnsi"/>
                <w:kern w:val="2"/>
                <w:sz w:val="22"/>
                <w:szCs w:val="22"/>
              </w:rPr>
              <w:tab/>
            </w:r>
            <w:r>
              <w:rPr>
                <w:rStyle w:val="Saltoaindice"/>
              </w:rPr>
              <w:t>Nomenclatura SAML 2.0 delle Asserzioni Applicative</w:t>
            </w:r>
            <w:r>
              <w:rPr>
                <w:rStyle w:val="Saltoaindice"/>
                <w:vanish w:val="false"/>
              </w:rPr>
              <w:tab/>
            </w:r>
            <w:r>
              <w:rPr>
                <w:webHidden/>
              </w:rPr>
              <w:fldChar w:fldCharType="begin"/>
            </w:r>
            <w:r>
              <w:rPr>
                <w:webHidden/>
              </w:rPr>
              <w:instrText xml:space="preserve">PAGEREF _Toc173420512 \h</w:instrText>
            </w:r>
            <w:r>
              <w:rPr>
                <w:webHidden/>
              </w:rPr>
              <w:fldChar w:fldCharType="separate"/>
            </w:r>
            <w:r>
              <w:rPr>
                <w:rStyle w:val="Saltoaindice"/>
                <w:vanish/>
              </w:rPr>
              <w:t>54</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3">
            <w:r>
              <w:rPr>
                <w:webHidden/>
                <w:rStyle w:val="Saltoaindice"/>
                <w:vanish w:val="false"/>
              </w:rPr>
              <w:t>9.</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Specifica dei Web Services della componente FSE</w:t>
            </w:r>
            <w:r>
              <w:rPr>
                <w:rStyle w:val="Saltoaindice"/>
                <w:vanish w:val="false"/>
              </w:rPr>
              <w:tab/>
            </w:r>
            <w:r>
              <w:rPr>
                <w:webHidden/>
              </w:rPr>
              <w:fldChar w:fldCharType="begin"/>
            </w:r>
            <w:r>
              <w:rPr>
                <w:webHidden/>
              </w:rPr>
              <w:instrText xml:space="preserve">PAGEREF _Toc173420513 \h</w:instrText>
            </w:r>
            <w:r>
              <w:rPr>
                <w:webHidden/>
              </w:rPr>
              <w:fldChar w:fldCharType="separate"/>
            </w:r>
            <w:r>
              <w:rPr>
                <w:rStyle w:val="Saltoaindice"/>
                <w:vanish/>
              </w:rPr>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4">
            <w:r>
              <w:rPr>
                <w:webHidden/>
                <w:rStyle w:val="Saltoaindice"/>
                <w:vanish w:val="false"/>
              </w:rPr>
              <w:t>9.1.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addDocument</w:t>
            </w:r>
            <w:r>
              <w:rPr>
                <w:rStyle w:val="Saltoaindice"/>
                <w:vanish w:val="false"/>
              </w:rPr>
              <w:tab/>
            </w:r>
            <w:r>
              <w:rPr>
                <w:webHidden/>
              </w:rPr>
              <w:fldChar w:fldCharType="begin"/>
            </w:r>
            <w:r>
              <w:rPr>
                <w:webHidden/>
              </w:rPr>
              <w:instrText xml:space="preserve">PAGEREF _Toc173420514 \h</w:instrText>
            </w:r>
            <w:r>
              <w:rPr>
                <w:webHidden/>
              </w:rPr>
              <w:fldChar w:fldCharType="separate"/>
            </w:r>
            <w:r>
              <w:rPr>
                <w:rStyle w:val="Saltoaindice"/>
                <w:vanish/>
              </w:rPr>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5">
            <w:r>
              <w:rPr>
                <w:webHidden/>
                <w:rStyle w:val="Saltoaindice"/>
                <w:vanish w:val="false"/>
              </w:rPr>
              <w:t>9.2.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updateDocument</w:t>
            </w:r>
            <w:r>
              <w:rPr>
                <w:rStyle w:val="Saltoaindice"/>
                <w:vanish w:val="false"/>
              </w:rPr>
              <w:tab/>
            </w:r>
            <w:r>
              <w:rPr>
                <w:webHidden/>
              </w:rPr>
              <w:fldChar w:fldCharType="begin"/>
            </w:r>
            <w:r>
              <w:rPr>
                <w:webHidden/>
              </w:rPr>
              <w:instrText xml:space="preserve">PAGEREF _Toc173420515 \h</w:instrText>
            </w:r>
            <w:r>
              <w:rPr>
                <w:webHidden/>
              </w:rPr>
              <w:fldChar w:fldCharType="separate"/>
            </w:r>
            <w:r>
              <w:rPr>
                <w:rStyle w:val="Saltoaindice"/>
                <w:vanish/>
              </w:rPr>
              <w:t>57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6">
            <w:r>
              <w:rPr>
                <w:webHidden/>
                <w:rStyle w:val="Saltoaindice"/>
                <w:vanish w:val="false"/>
              </w:rPr>
              <w:t>9.3.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queryDocument</w:t>
            </w:r>
            <w:r>
              <w:rPr>
                <w:rStyle w:val="Saltoaindice"/>
                <w:vanish w:val="false"/>
              </w:rPr>
              <w:tab/>
            </w:r>
            <w:r>
              <w:rPr>
                <w:webHidden/>
              </w:rPr>
              <w:fldChar w:fldCharType="begin"/>
            </w:r>
            <w:r>
              <w:rPr>
                <w:webHidden/>
              </w:rPr>
              <w:instrText xml:space="preserve">PAGEREF _Toc173420516 \h</w:instrText>
            </w:r>
            <w:r>
              <w:rPr>
                <w:webHidden/>
              </w:rPr>
              <w:fldChar w:fldCharType="separate"/>
            </w:r>
            <w:r>
              <w:rPr>
                <w:rStyle w:val="Saltoaindice"/>
                <w:vanish/>
              </w:rPr>
              <w:t>60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7">
            <w:r>
              <w:rPr>
                <w:webHidden/>
                <w:rStyle w:val="Saltoaindice"/>
                <w:vanish w:val="false"/>
              </w:rPr>
              <w:t>9.3.1</w:t>
            </w:r>
            <w:r>
              <w:rPr>
                <w:rStyle w:val="Saltoaindice"/>
                <w:rFonts w:eastAsia="" w:cs="" w:ascii="Calibri" w:hAnsi="Calibri" w:asciiTheme="minorHAnsi" w:cstheme="minorBidi" w:eastAsiaTheme="minorEastAsia" w:hAnsiTheme="minorHAnsi"/>
                <w:kern w:val="2"/>
                <w:sz w:val="22"/>
                <w:szCs w:val="22"/>
              </w:rPr>
              <w:tab/>
            </w:r>
            <w:r>
              <w:rPr>
                <w:rStyle w:val="Saltoaindice"/>
              </w:rPr>
              <w:t>Dizionario metadati</w:t>
            </w:r>
            <w:r>
              <w:rPr>
                <w:rStyle w:val="Saltoaindice"/>
                <w:vanish w:val="false"/>
              </w:rPr>
              <w:tab/>
            </w:r>
            <w:r>
              <w:rPr>
                <w:webHidden/>
              </w:rPr>
              <w:fldChar w:fldCharType="begin"/>
            </w:r>
            <w:r>
              <w:rPr>
                <w:webHidden/>
              </w:rPr>
              <w:instrText xml:space="preserve">PAGEREF _Toc173420517 \h</w:instrText>
            </w:r>
            <w:r>
              <w:rPr>
                <w:webHidden/>
              </w:rPr>
              <w:fldChar w:fldCharType="separate"/>
            </w:r>
            <w:r>
              <w:rPr>
                <w:rStyle w:val="Saltoaindice"/>
                <w:vanish/>
              </w:rPr>
              <w:t>63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8">
            <w:r>
              <w:rPr>
                <w:webHidden/>
                <w:rStyle w:val="Saltoaindice"/>
                <w:vanish w:val="false"/>
              </w:rPr>
              <w:t>9.3.2</w:t>
            </w:r>
            <w:r>
              <w:rPr>
                <w:rStyle w:val="Saltoaindice"/>
                <w:rFonts w:eastAsia="" w:cs="" w:ascii="Calibri" w:hAnsi="Calibri" w:asciiTheme="minorHAnsi" w:cstheme="minorBidi" w:eastAsiaTheme="minorEastAsia" w:hAnsiTheme="minorHAnsi"/>
                <w:kern w:val="2"/>
                <w:sz w:val="22"/>
                <w:szCs w:val="22"/>
              </w:rPr>
              <w:tab/>
            </w:r>
            <w:r>
              <w:rPr>
                <w:rStyle w:val="Saltoaindice"/>
              </w:rPr>
              <w:t>Nuova modalità accesso in emergenza</w:t>
            </w:r>
            <w:r>
              <w:rPr>
                <w:rStyle w:val="Saltoaindice"/>
                <w:vanish w:val="false"/>
              </w:rPr>
              <w:tab/>
            </w:r>
            <w:r>
              <w:rPr>
                <w:webHidden/>
              </w:rPr>
              <w:fldChar w:fldCharType="begin"/>
            </w:r>
            <w:r>
              <w:rPr>
                <w:webHidden/>
              </w:rPr>
              <w:instrText xml:space="preserve">PAGEREF _Toc173420518 \h</w:instrText>
            </w:r>
            <w:r>
              <w:rPr>
                <w:webHidden/>
              </w:rPr>
              <w:fldChar w:fldCharType="separate"/>
            </w:r>
            <w:r>
              <w:rPr>
                <w:rStyle w:val="Saltoaindice"/>
                <w:vanish/>
              </w:rPr>
              <w:t>66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9">
            <w:r>
              <w:rPr>
                <w:webHidden/>
                <w:rStyle w:val="Saltoaindice"/>
                <w:vanish w:val="false"/>
              </w:rPr>
              <w:t>9.4.</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retrieveDocument</w:t>
            </w:r>
            <w:r>
              <w:rPr>
                <w:rStyle w:val="Saltoaindice"/>
                <w:vanish w:val="false"/>
              </w:rPr>
              <w:tab/>
            </w:r>
            <w:r>
              <w:rPr>
                <w:webHidden/>
              </w:rPr>
              <w:fldChar w:fldCharType="begin"/>
            </w:r>
            <w:r>
              <w:rPr>
                <w:webHidden/>
              </w:rPr>
              <w:instrText xml:space="preserve">PAGEREF _Toc173420519 \h</w:instrText>
            </w:r>
            <w:r>
              <w:rPr>
                <w:webHidden/>
              </w:rPr>
              <w:fldChar w:fldCharType="separate"/>
            </w:r>
            <w:r>
              <w:rPr>
                <w:rStyle w:val="Saltoaindice"/>
                <w:vanish/>
              </w:rPr>
              <w:t>67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0">
            <w:r>
              <w:rPr>
                <w:webHidden/>
                <w:rStyle w:val="Saltoaindice"/>
                <w:vanish w:val="false"/>
              </w:rPr>
              <w:t>9.5.</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setWritingAgreement</w:t>
            </w:r>
            <w:r>
              <w:rPr>
                <w:rStyle w:val="Saltoaindice"/>
                <w:vanish w:val="false"/>
              </w:rPr>
              <w:tab/>
            </w:r>
            <w:r>
              <w:rPr>
                <w:webHidden/>
              </w:rPr>
              <w:fldChar w:fldCharType="begin"/>
            </w:r>
            <w:r>
              <w:rPr>
                <w:webHidden/>
              </w:rPr>
              <w:instrText xml:space="preserve">PAGEREF _Toc173420520 \h</w:instrText>
            </w:r>
            <w:r>
              <w:rPr>
                <w:webHidden/>
              </w:rPr>
              <w:fldChar w:fldCharType="separate"/>
            </w:r>
            <w:r>
              <w:rPr>
                <w:rStyle w:val="Saltoaindice"/>
                <w:vanish/>
              </w:rPr>
              <w:t>69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1">
            <w:r>
              <w:rPr>
                <w:webHidden/>
                <w:rStyle w:val="Saltoaindice"/>
                <w:vanish w:val="false"/>
              </w:rPr>
              <w:t>9.6.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getWritingAgreement</w:t>
            </w:r>
            <w:r>
              <w:rPr>
                <w:rStyle w:val="Saltoaindice"/>
                <w:vanish w:val="false"/>
              </w:rPr>
              <w:tab/>
            </w:r>
            <w:r>
              <w:rPr>
                <w:webHidden/>
              </w:rPr>
              <w:fldChar w:fldCharType="begin"/>
            </w:r>
            <w:r>
              <w:rPr>
                <w:webHidden/>
              </w:rPr>
              <w:instrText xml:space="preserve">PAGEREF _Toc173420521 \h</w:instrText>
            </w:r>
            <w:r>
              <w:rPr>
                <w:webHidden/>
              </w:rPr>
              <w:fldChar w:fldCharType="separate"/>
            </w:r>
            <w:r>
              <w:rPr>
                <w:rStyle w:val="Saltoaindice"/>
                <w:vanish/>
              </w:rPr>
              <w:t>70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2">
            <w:r>
              <w:rPr>
                <w:webHidden/>
                <w:rStyle w:val="Saltoaindice"/>
                <w:vanish w:val="false"/>
              </w:rPr>
              <w:t>9.7.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setReadingAgreement</w:t>
            </w:r>
            <w:r>
              <w:rPr>
                <w:rStyle w:val="Saltoaindice"/>
                <w:vanish w:val="false"/>
              </w:rPr>
              <w:tab/>
            </w:r>
            <w:r>
              <w:rPr>
                <w:webHidden/>
              </w:rPr>
              <w:fldChar w:fldCharType="begin"/>
            </w:r>
            <w:r>
              <w:rPr>
                <w:webHidden/>
              </w:rPr>
              <w:instrText xml:space="preserve">PAGEREF _Toc173420522 \h</w:instrText>
            </w:r>
            <w:r>
              <w:rPr>
                <w:webHidden/>
              </w:rPr>
              <w:fldChar w:fldCharType="separate"/>
            </w:r>
            <w:r>
              <w:rPr>
                <w:rStyle w:val="Saltoaindice"/>
                <w:vanish/>
              </w:rPr>
              <w:t>71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3">
            <w:r>
              <w:rPr>
                <w:webHidden/>
                <w:rStyle w:val="Saltoaindice"/>
                <w:vanish w:val="false"/>
              </w:rPr>
              <w:t>9.8.</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getReadingAgreement</w:t>
            </w:r>
            <w:r>
              <w:rPr>
                <w:rStyle w:val="Saltoaindice"/>
                <w:vanish w:val="false"/>
              </w:rPr>
              <w:tab/>
            </w:r>
            <w:r>
              <w:rPr>
                <w:webHidden/>
              </w:rPr>
              <w:fldChar w:fldCharType="begin"/>
            </w:r>
            <w:r>
              <w:rPr>
                <w:webHidden/>
              </w:rPr>
              <w:instrText xml:space="preserve">PAGEREF _Toc173420523 \h</w:instrText>
            </w:r>
            <w:r>
              <w:rPr>
                <w:webHidden/>
              </w:rPr>
              <w:fldChar w:fldCharType="separate"/>
            </w:r>
            <w:r>
              <w:rPr>
                <w:rStyle w:val="Saltoaindice"/>
                <w:vanish/>
              </w:rPr>
              <w:t>73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4">
            <w:r>
              <w:rPr>
                <w:webHidden/>
                <w:rStyle w:val="Saltoaindice"/>
                <w:vanish w:val="false"/>
              </w:rPr>
              <w:t>9.9.</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blindDocument</w:t>
            </w:r>
            <w:r>
              <w:rPr>
                <w:rStyle w:val="Saltoaindice"/>
                <w:vanish w:val="false"/>
              </w:rPr>
              <w:tab/>
            </w:r>
            <w:r>
              <w:rPr>
                <w:webHidden/>
              </w:rPr>
              <w:fldChar w:fldCharType="begin"/>
            </w:r>
            <w:r>
              <w:rPr>
                <w:webHidden/>
              </w:rPr>
              <w:instrText xml:space="preserve">PAGEREF _Toc173420524 \h</w:instrText>
            </w:r>
            <w:r>
              <w:rPr>
                <w:webHidden/>
              </w:rPr>
              <w:fldChar w:fldCharType="separate"/>
            </w:r>
            <w:r>
              <w:rPr>
                <w:rStyle w:val="Saltoaindice"/>
                <w:vanish/>
              </w:rPr>
              <w:t>74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5">
            <w:r>
              <w:rPr>
                <w:webHidden/>
                <w:rStyle w:val="Saltoaindice"/>
                <w:vanish w:val="false"/>
              </w:rPr>
              <w:t>9.10.</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getAccessLog</w:t>
            </w:r>
            <w:r>
              <w:rPr>
                <w:rStyle w:val="Saltoaindice"/>
                <w:vanish w:val="false"/>
              </w:rPr>
              <w:tab/>
            </w:r>
            <w:r>
              <w:rPr>
                <w:webHidden/>
              </w:rPr>
              <w:fldChar w:fldCharType="begin"/>
            </w:r>
            <w:r>
              <w:rPr>
                <w:webHidden/>
              </w:rPr>
              <w:instrText xml:space="preserve">PAGEREF _Toc173420525 \h</w:instrText>
            </w:r>
            <w:r>
              <w:rPr>
                <w:webHidden/>
              </w:rPr>
              <w:fldChar w:fldCharType="separate"/>
            </w:r>
            <w:r>
              <w:rPr>
                <w:rStyle w:val="Saltoaindice"/>
                <w:vanish/>
              </w:rPr>
              <w:t>75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6">
            <w:r>
              <w:rPr>
                <w:webHidden/>
                <w:rStyle w:val="Saltoaindice"/>
                <w:vanish w:val="false"/>
              </w:rPr>
              <w:t>9.11.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getDocumentBlindStatus</w:t>
            </w:r>
            <w:r>
              <w:rPr>
                <w:rStyle w:val="Saltoaindice"/>
                <w:vanish w:val="false"/>
              </w:rPr>
              <w:tab/>
            </w:r>
            <w:r>
              <w:rPr>
                <w:webHidden/>
              </w:rPr>
              <w:fldChar w:fldCharType="begin"/>
            </w:r>
            <w:r>
              <w:rPr>
                <w:webHidden/>
              </w:rPr>
              <w:instrText xml:space="preserve">PAGEREF _Toc173420526 \h</w:instrText>
            </w:r>
            <w:r>
              <w:rPr>
                <w:webHidden/>
              </w:rPr>
              <w:fldChar w:fldCharType="separate"/>
            </w:r>
            <w:r>
              <w:rPr>
                <w:rStyle w:val="Saltoaindice"/>
                <w:vanish/>
              </w:rPr>
              <w:t>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7">
            <w:r>
              <w:rPr>
                <w:webHidden/>
                <w:rStyle w:val="Saltoaindice"/>
                <w:vanish w:val="false"/>
              </w:rPr>
              <w:t>9.12.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setPreviousAgreement</w:t>
            </w:r>
            <w:r>
              <w:rPr>
                <w:rStyle w:val="Saltoaindice"/>
                <w:vanish w:val="false"/>
              </w:rPr>
              <w:tab/>
            </w:r>
            <w:r>
              <w:rPr>
                <w:webHidden/>
              </w:rPr>
              <w:fldChar w:fldCharType="begin"/>
            </w:r>
            <w:r>
              <w:rPr>
                <w:webHidden/>
              </w:rPr>
              <w:instrText xml:space="preserve">PAGEREF _Toc173420527 \h</w:instrText>
            </w:r>
            <w:r>
              <w:rPr>
                <w:webHidden/>
              </w:rPr>
              <w:fldChar w:fldCharType="separate"/>
            </w:r>
            <w:r>
              <w:rPr>
                <w:rStyle w:val="Saltoaindice"/>
                <w:vanish/>
              </w:rPr>
              <w:t>77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8">
            <w:r>
              <w:rPr>
                <w:webHidden/>
                <w:rStyle w:val="Saltoaindice"/>
                <w:vanish w:val="false"/>
              </w:rPr>
              <w:t>9.13.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getPreviousAgreement</w:t>
            </w:r>
            <w:r>
              <w:rPr>
                <w:rStyle w:val="Saltoaindice"/>
                <w:vanish w:val="false"/>
              </w:rPr>
              <w:tab/>
            </w:r>
            <w:r>
              <w:rPr>
                <w:webHidden/>
              </w:rPr>
              <w:fldChar w:fldCharType="begin"/>
            </w:r>
            <w:r>
              <w:rPr>
                <w:webHidden/>
              </w:rPr>
              <w:instrText xml:space="preserve">PAGEREF _Toc173420528 \h</w:instrText>
            </w:r>
            <w:r>
              <w:rPr>
                <w:webHidden/>
              </w:rPr>
              <w:fldChar w:fldCharType="separate"/>
            </w:r>
            <w:r>
              <w:rPr>
                <w:rStyle w:val="Saltoaindice"/>
                <w:vanish/>
              </w:rPr>
              <w:t>78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9">
            <w:r>
              <w:rPr>
                <w:webHidden/>
                <w:rStyle w:val="Saltoaindice"/>
                <w:vanish w:val="false"/>
              </w:rPr>
              <w:t>9.16.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setDisclosure</w:t>
            </w:r>
            <w:r>
              <w:rPr>
                <w:rStyle w:val="Saltoaindice"/>
                <w:vanish w:val="false"/>
              </w:rPr>
              <w:tab/>
            </w:r>
            <w:r>
              <w:rPr>
                <w:webHidden/>
              </w:rPr>
              <w:fldChar w:fldCharType="begin"/>
            </w:r>
            <w:r>
              <w:rPr>
                <w:webHidden/>
              </w:rPr>
              <w:instrText xml:space="preserve">PAGEREF _Toc173420529 \h</w:instrText>
            </w:r>
            <w:r>
              <w:rPr>
                <w:webHidden/>
              </w:rPr>
              <w:fldChar w:fldCharType="separate"/>
            </w:r>
            <w:r>
              <w:rPr>
                <w:rStyle w:val="Saltoaindice"/>
                <w:vanish/>
              </w:rPr>
              <w:t>80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0">
            <w:r>
              <w:rPr>
                <w:webHidden/>
                <w:rStyle w:val="Saltoaindice"/>
                <w:vanish w:val="false"/>
              </w:rPr>
              <w:t>9.17.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getAgreements</w:t>
            </w:r>
            <w:r>
              <w:rPr>
                <w:rStyle w:val="Saltoaindice"/>
                <w:vanish w:val="false"/>
              </w:rPr>
              <w:tab/>
            </w:r>
            <w:r>
              <w:rPr>
                <w:webHidden/>
              </w:rPr>
              <w:fldChar w:fldCharType="begin"/>
            </w:r>
            <w:r>
              <w:rPr>
                <w:webHidden/>
              </w:rPr>
              <w:instrText xml:space="preserve">PAGEREF _Toc173420530 \h</w:instrText>
            </w:r>
            <w:r>
              <w:rPr>
                <w:webHidden/>
              </w:rPr>
              <w:fldChar w:fldCharType="separate"/>
            </w:r>
            <w:r>
              <w:rPr>
                <w:rStyle w:val="Saltoaindice"/>
                <w:vanish/>
              </w:rPr>
              <w:t>81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1">
            <w:r>
              <w:rPr>
                <w:webHidden/>
                <w:rStyle w:val="Saltoaindice"/>
                <w:vanish w:val="false"/>
              </w:rPr>
              <w:t>9.18. Web Service: setAgreements</w:t>
              <w:tab/>
            </w:r>
            <w:r>
              <w:rPr>
                <w:webHidden/>
              </w:rPr>
              <w:fldChar w:fldCharType="begin"/>
            </w:r>
            <w:r>
              <w:rPr>
                <w:webHidden/>
              </w:rPr>
              <w:instrText xml:space="preserve">PAGEREF _Toc173420531 \h</w:instrText>
            </w:r>
            <w:r>
              <w:rPr>
                <w:webHidden/>
              </w:rPr>
              <w:fldChar w:fldCharType="separate"/>
            </w:r>
            <w:r>
              <w:rPr>
                <w:rStyle w:val="Saltoaindice"/>
                <w:vanish/>
              </w:rPr>
              <w:t>82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32">
            <w:r>
              <w:rPr>
                <w:webHidden/>
                <w:rStyle w:val="Saltoaindice"/>
                <w:vanish w:val="false"/>
              </w:rPr>
              <w:t>10.</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A – Scenari di integrazione Ciclo di Vita Prescrittivo</w:t>
            </w:r>
            <w:r>
              <w:rPr>
                <w:rStyle w:val="Saltoaindice"/>
                <w:vanish w:val="false"/>
              </w:rPr>
              <w:tab/>
            </w:r>
            <w:r>
              <w:rPr>
                <w:webHidden/>
              </w:rPr>
              <w:fldChar w:fldCharType="begin"/>
            </w:r>
            <w:r>
              <w:rPr>
                <w:webHidden/>
              </w:rPr>
              <w:instrText xml:space="preserve">PAGEREF _Toc173420532 \h</w:instrText>
            </w:r>
            <w:r>
              <w:rPr>
                <w:webHidden/>
              </w:rPr>
              <w:fldChar w:fldCharType="separate"/>
            </w:r>
            <w:r>
              <w:rPr>
                <w:rStyle w:val="Saltoaindice"/>
                <w:vanish/>
              </w:rPr>
              <w:t>84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3">
            <w:r>
              <w:rPr>
                <w:webHidden/>
                <w:rStyle w:val="Saltoaindice"/>
                <w:vanish w:val="false"/>
              </w:rPr>
              <w:t>10.1.</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cartelle cliniche</w:t>
            </w:r>
            <w:r>
              <w:rPr>
                <w:rStyle w:val="Saltoaindice"/>
                <w:vanish w:val="false"/>
              </w:rPr>
              <w:tab/>
            </w:r>
            <w:r>
              <w:rPr>
                <w:webHidden/>
              </w:rPr>
              <w:fldChar w:fldCharType="begin"/>
            </w:r>
            <w:r>
              <w:rPr>
                <w:webHidden/>
              </w:rPr>
              <w:instrText xml:space="preserve">PAGEREF _Toc173420533 \h</w:instrText>
            </w:r>
            <w:r>
              <w:rPr>
                <w:webHidden/>
              </w:rPr>
              <w:fldChar w:fldCharType="separate"/>
            </w:r>
            <w:r>
              <w:rPr>
                <w:rStyle w:val="Saltoaindice"/>
                <w:vanish/>
              </w:rPr>
              <w:t>84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4">
            <w:r>
              <w:rPr>
                <w:webHidden/>
                <w:rStyle w:val="Saltoaindice"/>
                <w:vanish w:val="false"/>
              </w:rPr>
              <w:t>10.1.1</w:t>
            </w:r>
            <w:r>
              <w:rPr>
                <w:rStyle w:val="Saltoaindice"/>
                <w:rFonts w:eastAsia="" w:cs="" w:ascii="Calibri" w:hAnsi="Calibri" w:asciiTheme="minorHAnsi" w:cstheme="minorBidi" w:eastAsiaTheme="minorEastAsia" w:hAnsiTheme="minorHAnsi"/>
                <w:kern w:val="2"/>
                <w:sz w:val="22"/>
                <w:szCs w:val="22"/>
              </w:rPr>
              <w:tab/>
            </w:r>
            <w:r>
              <w:rPr>
                <w:rStyle w:val="Saltoaindice"/>
              </w:rPr>
              <w:t>Emettere prescrizione</w:t>
            </w:r>
            <w:r>
              <w:rPr>
                <w:rStyle w:val="Saltoaindice"/>
                <w:vanish w:val="false"/>
              </w:rPr>
              <w:tab/>
            </w:r>
            <w:r>
              <w:rPr>
                <w:webHidden/>
              </w:rPr>
              <w:fldChar w:fldCharType="begin"/>
            </w:r>
            <w:r>
              <w:rPr>
                <w:webHidden/>
              </w:rPr>
              <w:instrText xml:space="preserve">PAGEREF _Toc173420534 \h</w:instrText>
            </w:r>
            <w:r>
              <w:rPr>
                <w:webHidden/>
              </w:rPr>
              <w:fldChar w:fldCharType="separate"/>
            </w:r>
            <w:r>
              <w:rPr>
                <w:rStyle w:val="Saltoaindice"/>
                <w:vanish/>
              </w:rPr>
              <w:t>85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5">
            <w:r>
              <w:rPr>
                <w:webHidden/>
                <w:rStyle w:val="Saltoaindice"/>
                <w:vanish w:val="false"/>
              </w:rPr>
              <w:t>10.1.2</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prescrizione</w:t>
            </w:r>
            <w:r>
              <w:rPr>
                <w:rStyle w:val="Saltoaindice"/>
                <w:vanish w:val="false"/>
              </w:rPr>
              <w:tab/>
            </w:r>
            <w:r>
              <w:rPr>
                <w:webHidden/>
              </w:rPr>
              <w:fldChar w:fldCharType="begin"/>
            </w:r>
            <w:r>
              <w:rPr>
                <w:webHidden/>
              </w:rPr>
              <w:instrText xml:space="preserve">PAGEREF _Toc173420535 \h</w:instrText>
            </w:r>
            <w:r>
              <w:rPr>
                <w:webHidden/>
              </w:rPr>
              <w:fldChar w:fldCharType="separate"/>
            </w:r>
            <w:r>
              <w:rPr>
                <w:rStyle w:val="Saltoaindice"/>
                <w:vanish/>
              </w:rPr>
              <w:t>89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6">
            <w:r>
              <w:rPr>
                <w:webHidden/>
                <w:rStyle w:val="Saltoaindice"/>
                <w:vanish w:val="false"/>
              </w:rPr>
              <w:t>10.1.3</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w:t>
            </w:r>
            <w:r>
              <w:rPr>
                <w:rStyle w:val="Saltoaindice"/>
                <w:vanish w:val="false"/>
              </w:rPr>
              <w:tab/>
            </w:r>
            <w:r>
              <w:rPr>
                <w:webHidden/>
              </w:rPr>
              <w:fldChar w:fldCharType="begin"/>
            </w:r>
            <w:r>
              <w:rPr>
                <w:webHidden/>
              </w:rPr>
              <w:instrText xml:space="preserve">PAGEREF _Toc173420536 \h</w:instrText>
            </w:r>
            <w:r>
              <w:rPr>
                <w:webHidden/>
              </w:rPr>
              <w:fldChar w:fldCharType="separate"/>
            </w:r>
            <w:r>
              <w:rPr>
                <w:rStyle w:val="Saltoaindice"/>
                <w:vanish/>
              </w:rPr>
              <w:t>90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7">
            <w:r>
              <w:rPr>
                <w:webHidden/>
                <w:rStyle w:val="Saltoaindice"/>
                <w:vanish w:val="false"/>
              </w:rPr>
              <w:t>10.1.4</w:t>
            </w:r>
            <w:r>
              <w:rPr>
                <w:rStyle w:val="Saltoaindice"/>
                <w:rFonts w:eastAsia="" w:cs="" w:ascii="Calibri" w:hAnsi="Calibri" w:asciiTheme="minorHAnsi" w:cstheme="minorBidi" w:eastAsiaTheme="minorEastAsia" w:hAnsiTheme="minorHAnsi"/>
                <w:kern w:val="2"/>
                <w:sz w:val="22"/>
                <w:szCs w:val="22"/>
              </w:rPr>
              <w:tab/>
            </w:r>
            <w:r>
              <w:rPr>
                <w:rStyle w:val="Saltoaindice"/>
              </w:rPr>
              <w:t>Ricercare prescrizioni</w:t>
            </w:r>
            <w:r>
              <w:rPr>
                <w:rStyle w:val="Saltoaindice"/>
                <w:vanish w:val="false"/>
              </w:rPr>
              <w:tab/>
            </w:r>
            <w:r>
              <w:rPr>
                <w:webHidden/>
              </w:rPr>
              <w:fldChar w:fldCharType="begin"/>
            </w:r>
            <w:r>
              <w:rPr>
                <w:webHidden/>
              </w:rPr>
              <w:instrText xml:space="preserve">PAGEREF _Toc173420537 \h</w:instrText>
            </w:r>
            <w:r>
              <w:rPr>
                <w:webHidden/>
              </w:rPr>
              <w:fldChar w:fldCharType="separate"/>
            </w:r>
            <w:r>
              <w:rPr>
                <w:rStyle w:val="Saltoaindice"/>
                <w:vanish/>
              </w:rPr>
              <w:t>91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8">
            <w:r>
              <w:rPr>
                <w:webHidden/>
                <w:rStyle w:val="Saltoaindice"/>
                <w:vanish w:val="false"/>
              </w:rPr>
              <w:t>10.2.</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gestionali di farmacia</w:t>
            </w:r>
            <w:r>
              <w:rPr>
                <w:rStyle w:val="Saltoaindice"/>
                <w:vanish w:val="false"/>
              </w:rPr>
              <w:tab/>
            </w:r>
            <w:r>
              <w:rPr>
                <w:webHidden/>
              </w:rPr>
              <w:fldChar w:fldCharType="begin"/>
            </w:r>
            <w:r>
              <w:rPr>
                <w:webHidden/>
              </w:rPr>
              <w:instrText xml:space="preserve">PAGEREF _Toc173420538 \h</w:instrText>
            </w:r>
            <w:r>
              <w:rPr>
                <w:webHidden/>
              </w:rPr>
              <w:fldChar w:fldCharType="separate"/>
            </w:r>
            <w:r>
              <w:rPr>
                <w:rStyle w:val="Saltoaindice"/>
                <w:vanish/>
              </w:rPr>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9">
            <w:r>
              <w:rPr>
                <w:webHidden/>
                <w:rStyle w:val="Saltoaindice"/>
                <w:vanish w:val="false"/>
              </w:rPr>
              <w:t>10.2.1</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w:t>
            </w:r>
            <w:r>
              <w:rPr>
                <w:rStyle w:val="Saltoaindice"/>
                <w:vanish w:val="false"/>
              </w:rPr>
              <w:tab/>
            </w:r>
            <w:r>
              <w:rPr>
                <w:webHidden/>
              </w:rPr>
              <w:fldChar w:fldCharType="begin"/>
            </w:r>
            <w:r>
              <w:rPr>
                <w:webHidden/>
              </w:rPr>
              <w:instrText xml:space="preserve">PAGEREF _Toc173420539 \h</w:instrText>
            </w:r>
            <w:r>
              <w:rPr>
                <w:webHidden/>
              </w:rPr>
              <w:fldChar w:fldCharType="separate"/>
            </w:r>
            <w:r>
              <w:rPr>
                <w:rStyle w:val="Saltoaindice"/>
                <w:vanish/>
              </w:rPr>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0">
            <w:r>
              <w:rPr>
                <w:webHidden/>
                <w:rStyle w:val="Saltoaindice"/>
                <w:vanish w:val="false"/>
              </w:rPr>
              <w:t>10.2.2</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 – Modalità differita</w:t>
            </w:r>
            <w:r>
              <w:rPr>
                <w:rStyle w:val="Saltoaindice"/>
                <w:vanish w:val="false"/>
              </w:rPr>
              <w:tab/>
            </w:r>
            <w:r>
              <w:rPr>
                <w:webHidden/>
              </w:rPr>
              <w:fldChar w:fldCharType="begin"/>
            </w:r>
            <w:r>
              <w:rPr>
                <w:webHidden/>
              </w:rPr>
              <w:instrText xml:space="preserve">PAGEREF _Toc173420540 \h</w:instrText>
            </w:r>
            <w:r>
              <w:rPr>
                <w:webHidden/>
              </w:rPr>
              <w:fldChar w:fldCharType="separate"/>
            </w:r>
            <w:r>
              <w:rPr>
                <w:rStyle w:val="Saltoaindice"/>
                <w:vanish/>
              </w:rPr>
              <w:t>96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1">
            <w:r>
              <w:rPr>
                <w:webHidden/>
                <w:rStyle w:val="Saltoaindice"/>
                <w:vanish w:val="false"/>
              </w:rPr>
              <w:t>10.2.3</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farmaceutica</w:t>
            </w:r>
            <w:r>
              <w:rPr>
                <w:rStyle w:val="Saltoaindice"/>
                <w:vanish w:val="false"/>
              </w:rPr>
              <w:tab/>
            </w:r>
            <w:r>
              <w:rPr>
                <w:webHidden/>
              </w:rPr>
              <w:fldChar w:fldCharType="begin"/>
            </w:r>
            <w:r>
              <w:rPr>
                <w:webHidden/>
              </w:rPr>
              <w:instrText xml:space="preserve">PAGEREF _Toc173420541 \h</w:instrText>
            </w:r>
            <w:r>
              <w:rPr>
                <w:webHidden/>
              </w:rPr>
              <w:fldChar w:fldCharType="separate"/>
            </w:r>
            <w:r>
              <w:rPr>
                <w:rStyle w:val="Saltoaindice"/>
                <w:vanish/>
              </w:rPr>
              <w:t>98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2">
            <w:r>
              <w:rPr>
                <w:webHidden/>
                <w:rStyle w:val="Saltoaindice"/>
                <w:vanish w:val="false"/>
              </w:rPr>
              <w:t>10.2.4</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farmaceutica</w:t>
            </w:r>
            <w:r>
              <w:rPr>
                <w:rStyle w:val="Saltoaindice"/>
                <w:vanish w:val="false"/>
              </w:rPr>
              <w:tab/>
            </w:r>
            <w:r>
              <w:rPr>
                <w:webHidden/>
              </w:rPr>
              <w:fldChar w:fldCharType="begin"/>
            </w:r>
            <w:r>
              <w:rPr>
                <w:webHidden/>
              </w:rPr>
              <w:instrText xml:space="preserve">PAGEREF _Toc173420542 \h</w:instrText>
            </w:r>
            <w:r>
              <w:rPr>
                <w:webHidden/>
              </w:rPr>
              <w:fldChar w:fldCharType="separate"/>
            </w:r>
            <w:r>
              <w:rPr>
                <w:rStyle w:val="Saltoaindice"/>
                <w:vanish/>
              </w:rPr>
              <w:t>99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3">
            <w:r>
              <w:rPr>
                <w:webHidden/>
                <w:rStyle w:val="Saltoaindice"/>
                <w:vanish w:val="false"/>
              </w:rPr>
              <w:t>10.2.5</w:t>
            </w:r>
            <w:r>
              <w:rPr>
                <w:rStyle w:val="Saltoaindice"/>
                <w:rFonts w:eastAsia="" w:cs="" w:ascii="Calibri" w:hAnsi="Calibri" w:asciiTheme="minorHAnsi" w:cstheme="minorBidi" w:eastAsiaTheme="minorEastAsia" w:hAnsiTheme="minorHAnsi"/>
                <w:kern w:val="2"/>
                <w:sz w:val="22"/>
                <w:szCs w:val="22"/>
              </w:rPr>
              <w:tab/>
            </w:r>
            <w:r>
              <w:rPr>
                <w:rStyle w:val="Saltoaindice"/>
              </w:rPr>
              <w:t>Visualizzare dati oscurati di prescrizione farmaceutica</w:t>
            </w:r>
            <w:r>
              <w:rPr>
                <w:rStyle w:val="Saltoaindice"/>
                <w:vanish w:val="false"/>
              </w:rPr>
              <w:tab/>
            </w:r>
            <w:r>
              <w:rPr>
                <w:webHidden/>
              </w:rPr>
              <w:fldChar w:fldCharType="begin"/>
            </w:r>
            <w:r>
              <w:rPr>
                <w:webHidden/>
              </w:rPr>
              <w:instrText xml:space="preserve">PAGEREF _Toc173420543 \h</w:instrText>
            </w:r>
            <w:r>
              <w:rPr>
                <w:webHidden/>
              </w:rPr>
              <w:fldChar w:fldCharType="separate"/>
            </w:r>
            <w:r>
              <w:rPr>
                <w:rStyle w:val="Saltoaindice"/>
                <w:vanish/>
              </w:rPr>
              <w:t>100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4">
            <w:r>
              <w:rPr>
                <w:webHidden/>
                <w:rStyle w:val="Saltoaindice"/>
                <w:vanish w:val="false"/>
              </w:rPr>
              <w:t>10.2.6</w:t>
            </w:r>
            <w:r>
              <w:rPr>
                <w:rStyle w:val="Saltoaindice"/>
                <w:rFonts w:eastAsia="" w:cs="" w:ascii="Calibri" w:hAnsi="Calibri" w:asciiTheme="minorHAnsi" w:cstheme="minorBidi" w:eastAsiaTheme="minorEastAsia" w:hAnsiTheme="minorHAnsi"/>
                <w:kern w:val="2"/>
                <w:sz w:val="22"/>
                <w:szCs w:val="22"/>
              </w:rPr>
              <w:tab/>
            </w:r>
            <w:r>
              <w:rPr>
                <w:rStyle w:val="Saltoaindice"/>
              </w:rPr>
              <w:t>Sospendere erogazione farmaceutica – Revocare la sospensione – Rilasciare la presa in carico – Terminare le erogazioni singole</w:t>
            </w:r>
            <w:r>
              <w:rPr>
                <w:rStyle w:val="Saltoaindice"/>
                <w:vanish w:val="false"/>
              </w:rPr>
              <w:tab/>
            </w:r>
            <w:r>
              <w:rPr>
                <w:webHidden/>
              </w:rPr>
              <w:fldChar w:fldCharType="begin"/>
            </w:r>
            <w:r>
              <w:rPr>
                <w:webHidden/>
              </w:rPr>
              <w:instrText xml:space="preserve">PAGEREF _Toc173420544 \h</w:instrText>
            </w:r>
            <w:r>
              <w:rPr>
                <w:webHidden/>
              </w:rPr>
              <w:fldChar w:fldCharType="separate"/>
            </w:r>
            <w:r>
              <w:rPr>
                <w:rStyle w:val="Saltoaindice"/>
                <w:vanish/>
              </w:rPr>
              <w:t>101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45">
            <w:r>
              <w:rPr>
                <w:webHidden/>
                <w:rStyle w:val="Saltoaindice"/>
                <w:vanish w:val="false"/>
              </w:rPr>
              <w:t>10.3.</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applicativi CUP</w:t>
            </w:r>
            <w:r>
              <w:rPr>
                <w:rStyle w:val="Saltoaindice"/>
                <w:vanish w:val="false"/>
              </w:rPr>
              <w:tab/>
            </w:r>
            <w:r>
              <w:rPr>
                <w:webHidden/>
              </w:rPr>
              <w:fldChar w:fldCharType="begin"/>
            </w:r>
            <w:r>
              <w:rPr>
                <w:webHidden/>
              </w:rPr>
              <w:instrText xml:space="preserve">PAGEREF _Toc173420545 \h</w:instrText>
            </w:r>
            <w:r>
              <w:rPr>
                <w:webHidden/>
              </w:rPr>
              <w:fldChar w:fldCharType="separate"/>
            </w:r>
            <w:r>
              <w:rPr>
                <w:rStyle w:val="Saltoaindice"/>
                <w:vanish/>
              </w:rPr>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6">
            <w:r>
              <w:rPr>
                <w:webHidden/>
                <w:rStyle w:val="Saltoaindice"/>
                <w:vanish w:val="false"/>
              </w:rPr>
              <w:t>10.3.1</w:t>
            </w:r>
            <w:r>
              <w:rPr>
                <w:rStyle w:val="Saltoaindice"/>
                <w:rFonts w:eastAsia="" w:cs="" w:ascii="Calibri" w:hAnsi="Calibri" w:asciiTheme="minorHAnsi" w:cstheme="minorBidi" w:eastAsiaTheme="minorEastAsia" w:hAnsiTheme="minorHAnsi"/>
                <w:kern w:val="2"/>
                <w:sz w:val="22"/>
                <w:szCs w:val="22"/>
              </w:rPr>
              <w:tab/>
            </w:r>
            <w:r>
              <w:rPr>
                <w:rStyle w:val="Saltoaindice"/>
              </w:rPr>
              <w:t>Prenotare erogazione specialistica</w:t>
            </w:r>
            <w:r>
              <w:rPr>
                <w:rStyle w:val="Saltoaindice"/>
                <w:vanish w:val="false"/>
              </w:rPr>
              <w:tab/>
            </w:r>
            <w:r>
              <w:rPr>
                <w:webHidden/>
              </w:rPr>
              <w:fldChar w:fldCharType="begin"/>
            </w:r>
            <w:r>
              <w:rPr>
                <w:webHidden/>
              </w:rPr>
              <w:instrText xml:space="preserve">PAGEREF _Toc173420546 \h</w:instrText>
            </w:r>
            <w:r>
              <w:rPr>
                <w:webHidden/>
              </w:rPr>
              <w:fldChar w:fldCharType="separate"/>
            </w:r>
            <w:r>
              <w:rPr>
                <w:rStyle w:val="Saltoaindice"/>
                <w:vanish/>
              </w:rPr>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7">
            <w:r>
              <w:rPr>
                <w:webHidden/>
                <w:rStyle w:val="Saltoaindice"/>
                <w:vanish w:val="false"/>
              </w:rPr>
              <w:t>10.3.2</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specialistica</w:t>
            </w:r>
            <w:r>
              <w:rPr>
                <w:rStyle w:val="Saltoaindice"/>
                <w:vanish w:val="false"/>
              </w:rPr>
              <w:tab/>
            </w:r>
            <w:r>
              <w:rPr>
                <w:webHidden/>
              </w:rPr>
              <w:fldChar w:fldCharType="begin"/>
            </w:r>
            <w:r>
              <w:rPr>
                <w:webHidden/>
              </w:rPr>
              <w:instrText xml:space="preserve">PAGEREF _Toc173420547 \h</w:instrText>
            </w:r>
            <w:r>
              <w:rPr>
                <w:webHidden/>
              </w:rPr>
              <w:fldChar w:fldCharType="separate"/>
            </w:r>
            <w:r>
              <w:rPr>
                <w:rStyle w:val="Saltoaindice"/>
                <w:vanish/>
              </w:rPr>
              <w:t>107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8">
            <w:r>
              <w:rPr>
                <w:webHidden/>
                <w:rStyle w:val="Saltoaindice"/>
                <w:vanish w:val="false"/>
              </w:rPr>
              <w:t>10.3.3</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specialistica – Modalità differita</w:t>
            </w:r>
            <w:r>
              <w:rPr>
                <w:rStyle w:val="Saltoaindice"/>
                <w:vanish w:val="false"/>
              </w:rPr>
              <w:tab/>
            </w:r>
            <w:r>
              <w:rPr>
                <w:webHidden/>
              </w:rPr>
              <w:fldChar w:fldCharType="begin"/>
            </w:r>
            <w:r>
              <w:rPr>
                <w:webHidden/>
              </w:rPr>
              <w:instrText xml:space="preserve">PAGEREF _Toc173420548 \h</w:instrText>
            </w:r>
            <w:r>
              <w:rPr>
                <w:webHidden/>
              </w:rPr>
              <w:fldChar w:fldCharType="separate"/>
            </w:r>
            <w:r>
              <w:rPr>
                <w:rStyle w:val="Saltoaindice"/>
                <w:vanish/>
              </w:rPr>
              <w:t>111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9">
            <w:r>
              <w:rPr>
                <w:webHidden/>
                <w:rStyle w:val="Saltoaindice"/>
                <w:vanish w:val="false"/>
              </w:rPr>
              <w:t>10.3.4</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specialistica</w:t>
            </w:r>
            <w:r>
              <w:rPr>
                <w:rStyle w:val="Saltoaindice"/>
                <w:vanish w:val="false"/>
              </w:rPr>
              <w:tab/>
            </w:r>
            <w:r>
              <w:rPr>
                <w:webHidden/>
              </w:rPr>
              <w:fldChar w:fldCharType="begin"/>
            </w:r>
            <w:r>
              <w:rPr>
                <w:webHidden/>
              </w:rPr>
              <w:instrText xml:space="preserve">PAGEREF _Toc173420549 \h</w:instrText>
            </w:r>
            <w:r>
              <w:rPr>
                <w:webHidden/>
              </w:rPr>
              <w:fldChar w:fldCharType="separate"/>
            </w:r>
            <w:r>
              <w:rPr>
                <w:rStyle w:val="Saltoaindice"/>
                <w:vanish/>
              </w:rPr>
              <w:t>115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0">
            <w:r>
              <w:rPr>
                <w:webHidden/>
                <w:rStyle w:val="Saltoaindice"/>
                <w:vanish w:val="false"/>
              </w:rPr>
              <w:t>10.3.5</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prenotazione</w:t>
            </w:r>
            <w:r>
              <w:rPr>
                <w:rStyle w:val="Saltoaindice"/>
                <w:vanish w:val="false"/>
              </w:rPr>
              <w:tab/>
            </w:r>
            <w:r>
              <w:rPr>
                <w:webHidden/>
              </w:rPr>
              <w:fldChar w:fldCharType="begin"/>
            </w:r>
            <w:r>
              <w:rPr>
                <w:webHidden/>
              </w:rPr>
              <w:instrText xml:space="preserve">PAGEREF _Toc173420550 \h</w:instrText>
            </w:r>
            <w:r>
              <w:rPr>
                <w:webHidden/>
              </w:rPr>
              <w:fldChar w:fldCharType="separate"/>
            </w:r>
            <w:r>
              <w:rPr>
                <w:rStyle w:val="Saltoaindice"/>
                <w:vanish/>
              </w:rPr>
              <w:t>116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1">
            <w:r>
              <w:rPr>
                <w:webHidden/>
                <w:rStyle w:val="Saltoaindice"/>
                <w:vanish w:val="false"/>
              </w:rPr>
              <w:t>10.3.6</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specialistica</w:t>
            </w:r>
            <w:r>
              <w:rPr>
                <w:rStyle w:val="Saltoaindice"/>
                <w:vanish w:val="false"/>
              </w:rPr>
              <w:tab/>
            </w:r>
            <w:r>
              <w:rPr>
                <w:webHidden/>
              </w:rPr>
              <w:fldChar w:fldCharType="begin"/>
            </w:r>
            <w:r>
              <w:rPr>
                <w:webHidden/>
              </w:rPr>
              <w:instrText xml:space="preserve">PAGEREF _Toc173420551 \h</w:instrText>
            </w:r>
            <w:r>
              <w:rPr>
                <w:webHidden/>
              </w:rPr>
              <w:fldChar w:fldCharType="separate"/>
            </w:r>
            <w:r>
              <w:rPr>
                <w:rStyle w:val="Saltoaindice"/>
                <w:vanish/>
              </w:rPr>
              <w:t>118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2">
            <w:r>
              <w:rPr>
                <w:webHidden/>
                <w:rStyle w:val="Saltoaindice"/>
                <w:vanish w:val="false"/>
              </w:rPr>
              <w:t>10.3.7</w:t>
            </w:r>
            <w:r>
              <w:rPr>
                <w:rStyle w:val="Saltoaindice"/>
                <w:rFonts w:eastAsia="" w:cs="" w:ascii="Calibri" w:hAnsi="Calibri" w:asciiTheme="minorHAnsi" w:cstheme="minorBidi" w:eastAsiaTheme="minorEastAsia" w:hAnsiTheme="minorHAnsi"/>
                <w:kern w:val="2"/>
                <w:sz w:val="22"/>
                <w:szCs w:val="22"/>
              </w:rPr>
              <w:tab/>
            </w:r>
            <w:r>
              <w:rPr>
                <w:rStyle w:val="Saltoaindice"/>
              </w:rPr>
              <w:t>Visualizzare dati oscurati di prescrizione specialistica</w:t>
            </w:r>
            <w:r>
              <w:rPr>
                <w:rStyle w:val="Saltoaindice"/>
                <w:vanish w:val="false"/>
              </w:rPr>
              <w:tab/>
            </w:r>
            <w:r>
              <w:rPr>
                <w:webHidden/>
              </w:rPr>
              <w:fldChar w:fldCharType="begin"/>
            </w:r>
            <w:r>
              <w:rPr>
                <w:webHidden/>
              </w:rPr>
              <w:instrText xml:space="preserve">PAGEREF _Toc173420552 \h</w:instrText>
            </w:r>
            <w:r>
              <w:rPr>
                <w:webHidden/>
              </w:rPr>
              <w:fldChar w:fldCharType="separate"/>
            </w:r>
            <w:r>
              <w:rPr>
                <w:rStyle w:val="Saltoaindice"/>
                <w:vanish/>
              </w:rPr>
              <w:t>119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3">
            <w:r>
              <w:rPr>
                <w:webHidden/>
                <w:rStyle w:val="Saltoaindice"/>
                <w:vanish w:val="false"/>
              </w:rPr>
              <w:t>10.3.8</w:t>
            </w:r>
            <w:r>
              <w:rPr>
                <w:rStyle w:val="Saltoaindice"/>
                <w:rFonts w:eastAsia="" w:cs="" w:ascii="Calibri" w:hAnsi="Calibri" w:asciiTheme="minorHAnsi" w:cstheme="minorBidi" w:eastAsiaTheme="minorEastAsia" w:hAnsiTheme="minorHAnsi"/>
                <w:kern w:val="2"/>
                <w:sz w:val="22"/>
                <w:szCs w:val="22"/>
              </w:rPr>
              <w:tab/>
            </w:r>
            <w:r>
              <w:rPr>
                <w:rStyle w:val="Saltoaindice"/>
              </w:rPr>
              <w:t>Ricercare erogazioni specialistiche</w:t>
            </w:r>
            <w:r>
              <w:rPr>
                <w:rStyle w:val="Saltoaindice"/>
                <w:vanish w:val="false"/>
              </w:rPr>
              <w:tab/>
            </w:r>
            <w:r>
              <w:rPr>
                <w:webHidden/>
              </w:rPr>
              <w:fldChar w:fldCharType="begin"/>
            </w:r>
            <w:r>
              <w:rPr>
                <w:webHidden/>
              </w:rPr>
              <w:instrText xml:space="preserve">PAGEREF _Toc173420553 \h</w:instrText>
            </w:r>
            <w:r>
              <w:rPr>
                <w:webHidden/>
              </w:rPr>
              <w:fldChar w:fldCharType="separate"/>
            </w:r>
            <w:r>
              <w:rPr>
                <w:rStyle w:val="Saltoaindice"/>
                <w:vanish/>
              </w:rPr>
              <w:t>119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54">
            <w:r>
              <w:rPr>
                <w:webHidden/>
                <w:rStyle w:val="Saltoaindice"/>
                <w:vanish w:val="false"/>
              </w:rPr>
              <w:t>11.</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B – Scenari di integrazione FSE</w:t>
            </w:r>
            <w:r>
              <w:rPr>
                <w:rStyle w:val="Saltoaindice"/>
                <w:vanish w:val="false"/>
              </w:rPr>
              <w:tab/>
            </w:r>
            <w:r>
              <w:rPr>
                <w:webHidden/>
              </w:rPr>
              <w:fldChar w:fldCharType="begin"/>
            </w:r>
            <w:r>
              <w:rPr>
                <w:webHidden/>
              </w:rPr>
              <w:instrText xml:space="preserve">PAGEREF _Toc173420554 \h</w:instrText>
            </w:r>
            <w:r>
              <w:rPr>
                <w:webHidden/>
              </w:rPr>
              <w:fldChar w:fldCharType="separate"/>
            </w:r>
            <w:r>
              <w:rPr>
                <w:rStyle w:val="Saltoaindice"/>
                <w:vanish/>
              </w:rPr>
              <w:t>121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5">
            <w:r>
              <w:rPr>
                <w:webHidden/>
                <w:rStyle w:val="Saltoaindice"/>
                <w:vanish w:val="false"/>
              </w:rPr>
              <w:t>11.1.</w:t>
            </w:r>
            <w:r>
              <w:rPr>
                <w:rStyle w:val="Saltoaindice"/>
                <w:rFonts w:eastAsia="" w:cs="" w:ascii="Calibri" w:hAnsi="Calibri" w:asciiTheme="minorHAnsi" w:cstheme="minorBidi" w:eastAsiaTheme="minorEastAsia" w:hAnsiTheme="minorHAnsi"/>
                <w:kern w:val="2"/>
                <w:sz w:val="22"/>
                <w:szCs w:val="22"/>
              </w:rPr>
              <w:tab/>
            </w:r>
            <w:r>
              <w:rPr>
                <w:rStyle w:val="Saltoaindice"/>
              </w:rPr>
              <w:t>Scenario 1 –Gestione Patient Summary o EDS</w:t>
            </w:r>
            <w:r>
              <w:rPr>
                <w:rStyle w:val="Saltoaindice"/>
                <w:vanish w:val="false"/>
              </w:rPr>
              <w:tab/>
            </w:r>
            <w:r>
              <w:rPr>
                <w:webHidden/>
              </w:rPr>
              <w:fldChar w:fldCharType="begin"/>
            </w:r>
            <w:r>
              <w:rPr>
                <w:webHidden/>
              </w:rPr>
              <w:instrText xml:space="preserve">PAGEREF _Toc173420555 \h</w:instrText>
            </w:r>
            <w:r>
              <w:rPr>
                <w:webHidden/>
              </w:rPr>
              <w:fldChar w:fldCharType="separate"/>
            </w:r>
            <w:r>
              <w:rPr>
                <w:rStyle w:val="Saltoaindice"/>
                <w:vanish/>
              </w:rPr>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6">
            <w:r>
              <w:rPr>
                <w:webHidden/>
                <w:rStyle w:val="Saltoaindice"/>
                <w:vanish w:val="false"/>
              </w:rPr>
              <w:t>11.1.1</w:t>
            </w:r>
            <w:r>
              <w:rPr>
                <w:rStyle w:val="Saltoaindice"/>
                <w:rFonts w:eastAsia="" w:cs="" w:ascii="Calibri" w:hAnsi="Calibri" w:asciiTheme="minorHAnsi" w:cstheme="minorBidi" w:eastAsiaTheme="minorEastAsia" w:hAnsiTheme="minorHAnsi"/>
                <w:kern w:val="2"/>
                <w:sz w:val="22"/>
                <w:szCs w:val="22"/>
              </w:rPr>
              <w:tab/>
            </w:r>
            <w:r>
              <w:rPr>
                <w:rStyle w:val="Saltoaindice"/>
              </w:rPr>
              <w:t>Inizializzazione PS o EDS nella cartella clinica</w:t>
            </w:r>
            <w:r>
              <w:rPr>
                <w:rStyle w:val="Saltoaindice"/>
                <w:vanish w:val="false"/>
              </w:rPr>
              <w:tab/>
            </w:r>
            <w:r>
              <w:rPr>
                <w:webHidden/>
              </w:rPr>
              <w:fldChar w:fldCharType="begin"/>
            </w:r>
            <w:r>
              <w:rPr>
                <w:webHidden/>
              </w:rPr>
              <w:instrText xml:space="preserve">PAGEREF _Toc173420556 \h</w:instrText>
            </w:r>
            <w:r>
              <w:rPr>
                <w:webHidden/>
              </w:rPr>
              <w:fldChar w:fldCharType="separate"/>
            </w:r>
            <w:r>
              <w:rPr>
                <w:rStyle w:val="Saltoaindice"/>
                <w:vanish/>
              </w:rPr>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7">
            <w:r>
              <w:rPr>
                <w:webHidden/>
                <w:rStyle w:val="Saltoaindice"/>
                <w:vanish w:val="false"/>
              </w:rPr>
              <w:t>11.1.2</w:t>
            </w:r>
            <w:r>
              <w:rPr>
                <w:rStyle w:val="Saltoaindice"/>
                <w:rFonts w:eastAsia="" w:cs="" w:ascii="Calibri" w:hAnsi="Calibri" w:asciiTheme="minorHAnsi" w:cstheme="minorBidi" w:eastAsiaTheme="minorEastAsia" w:hAnsiTheme="minorHAnsi"/>
                <w:kern w:val="2"/>
                <w:sz w:val="22"/>
                <w:szCs w:val="22"/>
              </w:rPr>
              <w:tab/>
            </w:r>
            <w:r>
              <w:rPr>
                <w:rStyle w:val="Saltoaindice"/>
              </w:rPr>
              <w:t>Alimentazione PS o EDS nel FSE</w:t>
            </w:r>
            <w:r>
              <w:rPr>
                <w:rStyle w:val="Saltoaindice"/>
                <w:vanish w:val="false"/>
              </w:rPr>
              <w:tab/>
            </w:r>
            <w:r>
              <w:rPr>
                <w:webHidden/>
              </w:rPr>
              <w:fldChar w:fldCharType="begin"/>
            </w:r>
            <w:r>
              <w:rPr>
                <w:webHidden/>
              </w:rPr>
              <w:instrText xml:space="preserve">PAGEREF _Toc173420557 \h</w:instrText>
            </w:r>
            <w:r>
              <w:rPr>
                <w:webHidden/>
              </w:rPr>
              <w:fldChar w:fldCharType="separate"/>
            </w:r>
            <w:r>
              <w:rPr>
                <w:rStyle w:val="Saltoaindice"/>
                <w:vanish/>
              </w:rPr>
              <w:t>123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8">
            <w:r>
              <w:rPr>
                <w:webHidden/>
                <w:rStyle w:val="Saltoaindice"/>
                <w:vanish w:val="false"/>
              </w:rPr>
              <w:t>11.2.</w:t>
            </w:r>
            <w:r>
              <w:rPr>
                <w:rStyle w:val="Saltoaindice"/>
                <w:rFonts w:eastAsia="" w:cs="" w:ascii="Calibri" w:hAnsi="Calibri" w:asciiTheme="minorHAnsi" w:cstheme="minorBidi" w:eastAsiaTheme="minorEastAsia" w:hAnsiTheme="minorHAnsi"/>
                <w:kern w:val="2"/>
                <w:sz w:val="22"/>
                <w:szCs w:val="22"/>
              </w:rPr>
              <w:tab/>
            </w:r>
            <w:r>
              <w:rPr>
                <w:rStyle w:val="Saltoaindice"/>
              </w:rPr>
              <w:t>Scenario 2 –Gestione certificati di malattia</w:t>
            </w:r>
            <w:r>
              <w:rPr>
                <w:rStyle w:val="Saltoaindice"/>
                <w:vanish w:val="false"/>
              </w:rPr>
              <w:tab/>
            </w:r>
            <w:r>
              <w:rPr>
                <w:webHidden/>
              </w:rPr>
              <w:fldChar w:fldCharType="begin"/>
            </w:r>
            <w:r>
              <w:rPr>
                <w:webHidden/>
              </w:rPr>
              <w:instrText xml:space="preserve">PAGEREF _Toc173420558 \h</w:instrText>
            </w:r>
            <w:r>
              <w:rPr>
                <w:webHidden/>
              </w:rPr>
              <w:fldChar w:fldCharType="separate"/>
            </w:r>
            <w:r>
              <w:rPr>
                <w:rStyle w:val="Saltoaindice"/>
                <w:vanish/>
              </w:rPr>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9">
            <w:r>
              <w:rPr>
                <w:webHidden/>
                <w:rStyle w:val="Saltoaindice"/>
                <w:vanish w:val="false"/>
              </w:rPr>
              <w:t>11.2.1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certificato di malattia INPS</w:t>
            </w:r>
            <w:r>
              <w:rPr>
                <w:rStyle w:val="Saltoaindice"/>
                <w:vanish w:val="false"/>
              </w:rPr>
              <w:tab/>
            </w:r>
            <w:r>
              <w:rPr>
                <w:webHidden/>
              </w:rPr>
              <w:fldChar w:fldCharType="begin"/>
            </w:r>
            <w:r>
              <w:rPr>
                <w:webHidden/>
              </w:rPr>
              <w:instrText xml:space="preserve">PAGEREF _Toc173420559 \h</w:instrText>
            </w:r>
            <w:r>
              <w:rPr>
                <w:webHidden/>
              </w:rPr>
              <w:fldChar w:fldCharType="separate"/>
            </w:r>
            <w:r>
              <w:rPr>
                <w:rStyle w:val="Saltoaindice"/>
                <w:vanish/>
              </w:rPr>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0">
            <w:r>
              <w:rPr>
                <w:webHidden/>
                <w:rStyle w:val="Saltoaindice"/>
                <w:vanish w:val="false"/>
              </w:rPr>
              <w:t>11.2.2</w:t>
            </w:r>
            <w:r>
              <w:rPr>
                <w:rStyle w:val="Saltoaindice"/>
                <w:rFonts w:eastAsia="" w:cs="" w:ascii="Calibri" w:hAnsi="Calibri" w:asciiTheme="minorHAnsi" w:cstheme="minorBidi" w:eastAsiaTheme="minorEastAsia" w:hAnsiTheme="minorHAnsi"/>
                <w:kern w:val="2"/>
                <w:sz w:val="22"/>
                <w:szCs w:val="22"/>
              </w:rPr>
              <w:tab/>
            </w:r>
            <w:r>
              <w:rPr>
                <w:rStyle w:val="Saltoaindice"/>
              </w:rPr>
              <w:t>Rettifica, annullo del certificato di malattia</w:t>
            </w:r>
            <w:r>
              <w:rPr>
                <w:rStyle w:val="Saltoaindice"/>
                <w:vanish w:val="false"/>
              </w:rPr>
              <w:tab/>
            </w:r>
            <w:r>
              <w:rPr>
                <w:webHidden/>
              </w:rPr>
              <w:fldChar w:fldCharType="begin"/>
            </w:r>
            <w:r>
              <w:rPr>
                <w:webHidden/>
              </w:rPr>
              <w:instrText xml:space="preserve">PAGEREF _Toc173420560 \h</w:instrText>
            </w:r>
            <w:r>
              <w:rPr>
                <w:webHidden/>
              </w:rPr>
              <w:fldChar w:fldCharType="separate"/>
            </w:r>
            <w:r>
              <w:rPr>
                <w:rStyle w:val="Saltoaindice"/>
                <w:vanish/>
              </w:rPr>
              <w:t>127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1">
            <w:r>
              <w:rPr>
                <w:webHidden/>
                <w:rStyle w:val="Saltoaindice"/>
                <w:vanish w:val="false"/>
              </w:rPr>
              <w:t>11.3.</w:t>
            </w:r>
            <w:r>
              <w:rPr>
                <w:rStyle w:val="Saltoaindice"/>
                <w:rFonts w:eastAsia="" w:cs="" w:ascii="Calibri" w:hAnsi="Calibri" w:asciiTheme="minorHAnsi" w:cstheme="minorBidi" w:eastAsiaTheme="minorEastAsia" w:hAnsiTheme="minorHAnsi"/>
                <w:kern w:val="2"/>
                <w:sz w:val="22"/>
                <w:szCs w:val="22"/>
              </w:rPr>
              <w:tab/>
            </w:r>
            <w:r>
              <w:rPr>
                <w:rStyle w:val="Saltoaindice"/>
              </w:rPr>
              <w:t>Scenario 3 –Gestione SDO</w:t>
            </w:r>
            <w:r>
              <w:rPr>
                <w:rStyle w:val="Saltoaindice"/>
                <w:vanish w:val="false"/>
              </w:rPr>
              <w:tab/>
            </w:r>
            <w:r>
              <w:rPr>
                <w:webHidden/>
              </w:rPr>
              <w:fldChar w:fldCharType="begin"/>
            </w:r>
            <w:r>
              <w:rPr>
                <w:webHidden/>
              </w:rPr>
              <w:instrText xml:space="preserve">PAGEREF _Toc173420561 \h</w:instrText>
            </w:r>
            <w:r>
              <w:rPr>
                <w:webHidden/>
              </w:rPr>
              <w:fldChar w:fldCharType="separate"/>
            </w:r>
            <w:r>
              <w:rPr>
                <w:rStyle w:val="Saltoaindice"/>
                <w:vanish/>
              </w:rPr>
              <w:t>128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2">
            <w:r>
              <w:rPr>
                <w:webHidden/>
                <w:rStyle w:val="Saltoaindice"/>
                <w:vanish w:val="false"/>
              </w:rPr>
              <w:t>11.3.1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SDO</w:t>
            </w:r>
            <w:r>
              <w:rPr>
                <w:rStyle w:val="Saltoaindice"/>
                <w:vanish w:val="false"/>
              </w:rPr>
              <w:tab/>
            </w:r>
            <w:r>
              <w:rPr>
                <w:webHidden/>
              </w:rPr>
              <w:fldChar w:fldCharType="begin"/>
            </w:r>
            <w:r>
              <w:rPr>
                <w:webHidden/>
              </w:rPr>
              <w:instrText xml:space="preserve">PAGEREF _Toc173420562 \h</w:instrText>
            </w:r>
            <w:r>
              <w:rPr>
                <w:webHidden/>
              </w:rPr>
              <w:fldChar w:fldCharType="separate"/>
            </w:r>
            <w:r>
              <w:rPr>
                <w:rStyle w:val="Saltoaindice"/>
                <w:vanish/>
              </w:rPr>
              <w:t>129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3">
            <w:r>
              <w:rPr>
                <w:webHidden/>
                <w:rStyle w:val="Saltoaindice"/>
                <w:vanish w:val="false"/>
              </w:rPr>
              <w:t>11.3.2</w:t>
            </w:r>
            <w:r>
              <w:rPr>
                <w:rStyle w:val="Saltoaindice"/>
                <w:rFonts w:eastAsia="" w:cs="" w:ascii="Calibri" w:hAnsi="Calibri" w:asciiTheme="minorHAnsi" w:cstheme="minorBidi" w:eastAsiaTheme="minorEastAsia" w:hAnsiTheme="minorHAnsi"/>
                <w:kern w:val="2"/>
                <w:sz w:val="22"/>
                <w:szCs w:val="22"/>
              </w:rPr>
              <w:tab/>
            </w:r>
            <w:r>
              <w:rPr>
                <w:rStyle w:val="Saltoaindice"/>
              </w:rPr>
              <w:t>Modifica e annullo SDO</w:t>
            </w:r>
            <w:r>
              <w:rPr>
                <w:rStyle w:val="Saltoaindice"/>
                <w:vanish w:val="false"/>
              </w:rPr>
              <w:tab/>
            </w:r>
            <w:r>
              <w:rPr>
                <w:webHidden/>
              </w:rPr>
              <w:fldChar w:fldCharType="begin"/>
            </w:r>
            <w:r>
              <w:rPr>
                <w:webHidden/>
              </w:rPr>
              <w:instrText xml:space="preserve">PAGEREF _Toc173420563 \h</w:instrText>
            </w:r>
            <w:r>
              <w:rPr>
                <w:webHidden/>
              </w:rPr>
              <w:fldChar w:fldCharType="separate"/>
            </w:r>
            <w:r>
              <w:rPr>
                <w:rStyle w:val="Saltoaindice"/>
                <w:vanish/>
              </w:rPr>
              <w:t>131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4">
            <w:r>
              <w:rPr>
                <w:webHidden/>
                <w:rStyle w:val="Saltoaindice"/>
                <w:vanish w:val="false"/>
              </w:rPr>
              <w:t>11.4.</w:t>
            </w:r>
            <w:r>
              <w:rPr>
                <w:rStyle w:val="Saltoaindice"/>
                <w:rFonts w:eastAsia="" w:cs="" w:ascii="Calibri" w:hAnsi="Calibri" w:asciiTheme="minorHAnsi" w:cstheme="minorBidi" w:eastAsiaTheme="minorEastAsia" w:hAnsiTheme="minorHAnsi"/>
                <w:kern w:val="2"/>
                <w:sz w:val="22"/>
                <w:szCs w:val="22"/>
              </w:rPr>
              <w:tab/>
            </w:r>
            <w:r>
              <w:rPr>
                <w:rStyle w:val="Saltoaindice"/>
              </w:rPr>
              <w:t>Scenario 4 –Gestione referti specialistici, referti di laboratorio</w:t>
            </w:r>
            <w:r>
              <w:rPr>
                <w:rStyle w:val="Saltoaindice"/>
                <w:vanish w:val="false"/>
              </w:rPr>
              <w:tab/>
            </w:r>
            <w:r>
              <w:rPr>
                <w:webHidden/>
              </w:rPr>
              <w:fldChar w:fldCharType="begin"/>
            </w:r>
            <w:r>
              <w:rPr>
                <w:webHidden/>
              </w:rPr>
              <w:instrText xml:space="preserve">PAGEREF _Toc173420564 \h</w:instrText>
            </w:r>
            <w:r>
              <w:rPr>
                <w:webHidden/>
              </w:rPr>
              <w:fldChar w:fldCharType="separate"/>
            </w:r>
            <w:r>
              <w:rPr>
                <w:rStyle w:val="Saltoaindice"/>
                <w:vanish/>
              </w:rPr>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5">
            <w:r>
              <w:rPr>
                <w:webHidden/>
                <w:rStyle w:val="Saltoaindice"/>
                <w:vanish w:val="false"/>
              </w:rPr>
              <w:t>11.4.1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referto</w:t>
            </w:r>
            <w:r>
              <w:rPr>
                <w:rStyle w:val="Saltoaindice"/>
                <w:vanish w:val="false"/>
              </w:rPr>
              <w:tab/>
            </w:r>
            <w:r>
              <w:rPr>
                <w:webHidden/>
              </w:rPr>
              <w:fldChar w:fldCharType="begin"/>
            </w:r>
            <w:r>
              <w:rPr>
                <w:webHidden/>
              </w:rPr>
              <w:instrText xml:space="preserve">PAGEREF _Toc173420565 \h</w:instrText>
            </w:r>
            <w:r>
              <w:rPr>
                <w:webHidden/>
              </w:rPr>
              <w:fldChar w:fldCharType="separate"/>
            </w:r>
            <w:r>
              <w:rPr>
                <w:rStyle w:val="Saltoaindice"/>
                <w:vanish/>
              </w:rPr>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6">
            <w:r>
              <w:rPr>
                <w:webHidden/>
                <w:rStyle w:val="Saltoaindice"/>
                <w:vanish w:val="false"/>
              </w:rPr>
              <w:t>11.4.2</w:t>
            </w:r>
            <w:r>
              <w:rPr>
                <w:rStyle w:val="Saltoaindice"/>
                <w:rFonts w:eastAsia="" w:cs="" w:ascii="Calibri" w:hAnsi="Calibri" w:asciiTheme="minorHAnsi" w:cstheme="minorBidi" w:eastAsiaTheme="minorEastAsia" w:hAnsiTheme="minorHAnsi"/>
                <w:kern w:val="2"/>
                <w:sz w:val="22"/>
                <w:szCs w:val="22"/>
              </w:rPr>
              <w:tab/>
            </w:r>
            <w:r>
              <w:rPr>
                <w:rStyle w:val="Saltoaindice"/>
              </w:rPr>
              <w:t>Modifica e annullo referto</w:t>
            </w:r>
            <w:r>
              <w:rPr>
                <w:rStyle w:val="Saltoaindice"/>
                <w:vanish w:val="false"/>
              </w:rPr>
              <w:tab/>
            </w:r>
            <w:r>
              <w:rPr>
                <w:webHidden/>
              </w:rPr>
              <w:fldChar w:fldCharType="begin"/>
            </w:r>
            <w:r>
              <w:rPr>
                <w:webHidden/>
              </w:rPr>
              <w:instrText xml:space="preserve">PAGEREF _Toc173420566 \h</w:instrText>
            </w:r>
            <w:r>
              <w:rPr>
                <w:webHidden/>
              </w:rPr>
              <w:fldChar w:fldCharType="separate"/>
            </w:r>
            <w:r>
              <w:rPr>
                <w:rStyle w:val="Saltoaindice"/>
                <w:vanish/>
              </w:rPr>
              <w:t>135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7">
            <w:r>
              <w:rPr>
                <w:webHidden/>
                <w:rStyle w:val="Saltoaindice"/>
                <w:vanish w:val="false"/>
              </w:rPr>
              <w:t>11.5.</w:t>
            </w:r>
            <w:r>
              <w:rPr>
                <w:rStyle w:val="Saltoaindice"/>
                <w:rFonts w:eastAsia="" w:cs="" w:ascii="Calibri" w:hAnsi="Calibri" w:asciiTheme="minorHAnsi" w:cstheme="minorBidi" w:eastAsiaTheme="minorEastAsia" w:hAnsiTheme="minorHAnsi"/>
                <w:kern w:val="2"/>
                <w:sz w:val="22"/>
                <w:szCs w:val="22"/>
              </w:rPr>
              <w:tab/>
            </w:r>
            <w:r>
              <w:rPr>
                <w:rStyle w:val="Saltoaindice"/>
              </w:rPr>
              <w:t>Scenario 5 –Ricerca documenti</w:t>
            </w:r>
            <w:r>
              <w:rPr>
                <w:rStyle w:val="Saltoaindice"/>
                <w:vanish w:val="false"/>
              </w:rPr>
              <w:tab/>
            </w:r>
            <w:r>
              <w:rPr>
                <w:webHidden/>
              </w:rPr>
              <w:fldChar w:fldCharType="begin"/>
            </w:r>
            <w:r>
              <w:rPr>
                <w:webHidden/>
              </w:rPr>
              <w:instrText xml:space="preserve">PAGEREF _Toc173420567 \h</w:instrText>
            </w:r>
            <w:r>
              <w:rPr>
                <w:webHidden/>
              </w:rPr>
              <w:fldChar w:fldCharType="separate"/>
            </w:r>
            <w:r>
              <w:rPr>
                <w:rStyle w:val="Saltoaindice"/>
                <w:vanish/>
              </w:rPr>
              <w:t>137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8">
            <w:r>
              <w:rPr>
                <w:webHidden/>
                <w:rStyle w:val="Saltoaindice"/>
                <w:vanish w:val="false"/>
              </w:rPr>
              <w:t>11.6.</w:t>
            </w:r>
            <w:r>
              <w:rPr>
                <w:rStyle w:val="Saltoaindice"/>
                <w:rFonts w:eastAsia="" w:cs="" w:ascii="Calibri" w:hAnsi="Calibri" w:asciiTheme="minorHAnsi" w:cstheme="minorBidi" w:eastAsiaTheme="minorEastAsia" w:hAnsiTheme="minorHAnsi"/>
                <w:kern w:val="2"/>
                <w:sz w:val="22"/>
                <w:szCs w:val="22"/>
              </w:rPr>
              <w:tab/>
            </w:r>
            <w:r>
              <w:rPr>
                <w:rStyle w:val="Saltoaindice"/>
              </w:rPr>
              <w:t>Scenario 6 – Consultazione Documenti</w:t>
            </w:r>
            <w:r>
              <w:rPr>
                <w:rStyle w:val="Saltoaindice"/>
                <w:vanish w:val="false"/>
              </w:rPr>
              <w:tab/>
            </w:r>
            <w:r>
              <w:rPr>
                <w:webHidden/>
              </w:rPr>
              <w:fldChar w:fldCharType="begin"/>
            </w:r>
            <w:r>
              <w:rPr>
                <w:webHidden/>
              </w:rPr>
              <w:instrText xml:space="preserve">PAGEREF _Toc173420568 \h</w:instrText>
            </w:r>
            <w:r>
              <w:rPr>
                <w:webHidden/>
              </w:rPr>
              <w:fldChar w:fldCharType="separate"/>
            </w:r>
            <w:r>
              <w:rPr>
                <w:rStyle w:val="Saltoaindice"/>
                <w:vanish/>
              </w:rPr>
              <w:t>138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9">
            <w:r>
              <w:rPr>
                <w:webHidden/>
                <w:rStyle w:val="Saltoaindice"/>
                <w:vanish w:val="false"/>
              </w:rPr>
              <w:t>11.7.</w:t>
            </w:r>
            <w:r>
              <w:rPr>
                <w:rStyle w:val="Saltoaindice"/>
                <w:rFonts w:eastAsia="" w:cs="" w:ascii="Calibri" w:hAnsi="Calibri" w:asciiTheme="minorHAnsi" w:cstheme="minorBidi" w:eastAsiaTheme="minorEastAsia" w:hAnsiTheme="minorHAnsi"/>
                <w:kern w:val="2"/>
                <w:sz w:val="22"/>
                <w:szCs w:val="22"/>
              </w:rPr>
              <w:tab/>
            </w:r>
            <w:r>
              <w:rPr>
                <w:rStyle w:val="Saltoaindice"/>
              </w:rPr>
              <w:t>Scenario 7 – Gestione consensi</w:t>
            </w:r>
            <w:r>
              <w:rPr>
                <w:rStyle w:val="Saltoaindice"/>
                <w:vanish w:val="false"/>
              </w:rPr>
              <w:tab/>
            </w:r>
            <w:r>
              <w:rPr>
                <w:webHidden/>
              </w:rPr>
              <w:fldChar w:fldCharType="begin"/>
            </w:r>
            <w:r>
              <w:rPr>
                <w:webHidden/>
              </w:rPr>
              <w:instrText xml:space="preserve">PAGEREF _Toc173420569 \h</w:instrText>
            </w:r>
            <w:r>
              <w:rPr>
                <w:webHidden/>
              </w:rPr>
              <w:fldChar w:fldCharType="separate"/>
            </w:r>
            <w:r>
              <w:rPr>
                <w:rStyle w:val="Saltoaindice"/>
                <w:vanish/>
              </w:rPr>
              <w:t>139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0">
            <w:r>
              <w:rPr>
                <w:webHidden/>
                <w:rStyle w:val="Saltoaindice"/>
                <w:vanish w:val="false"/>
              </w:rPr>
              <w:t>11.8.</w:t>
            </w:r>
            <w:r>
              <w:rPr>
                <w:rStyle w:val="Saltoaindice"/>
                <w:rFonts w:eastAsia="" w:cs="" w:ascii="Calibri" w:hAnsi="Calibri" w:asciiTheme="minorHAnsi" w:cstheme="minorBidi" w:eastAsiaTheme="minorEastAsia" w:hAnsiTheme="minorHAnsi"/>
                <w:kern w:val="2"/>
                <w:sz w:val="22"/>
                <w:szCs w:val="22"/>
              </w:rPr>
              <w:tab/>
            </w:r>
            <w:r>
              <w:rPr>
                <w:rStyle w:val="Saltoaindice"/>
              </w:rPr>
              <w:t>Scenario 8 – Gestioneconsensi puntuali su documenti</w:t>
            </w:r>
            <w:r>
              <w:rPr>
                <w:rStyle w:val="Saltoaindice"/>
                <w:vanish w:val="false"/>
              </w:rPr>
              <w:tab/>
            </w:r>
            <w:r>
              <w:rPr>
                <w:webHidden/>
              </w:rPr>
              <w:fldChar w:fldCharType="begin"/>
            </w:r>
            <w:r>
              <w:rPr>
                <w:webHidden/>
              </w:rPr>
              <w:instrText xml:space="preserve">PAGEREF _Toc173420570 \h</w:instrText>
            </w:r>
            <w:r>
              <w:rPr>
                <w:webHidden/>
              </w:rPr>
              <w:fldChar w:fldCharType="separate"/>
            </w:r>
            <w:r>
              <w:rPr>
                <w:rStyle w:val="Saltoaindice"/>
                <w:vanish/>
              </w:rPr>
              <w:t>141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1">
            <w:r>
              <w:rPr>
                <w:webHidden/>
                <w:rStyle w:val="Saltoaindice"/>
                <w:vanish w:val="false"/>
              </w:rPr>
              <w:t>11.9.</w:t>
            </w:r>
            <w:r>
              <w:rPr>
                <w:rStyle w:val="Saltoaindice"/>
                <w:rFonts w:eastAsia="" w:cs="" w:ascii="Calibri" w:hAnsi="Calibri" w:asciiTheme="minorHAnsi" w:cstheme="minorBidi" w:eastAsiaTheme="minorEastAsia" w:hAnsiTheme="minorHAnsi"/>
                <w:kern w:val="2"/>
                <w:sz w:val="22"/>
                <w:szCs w:val="22"/>
              </w:rPr>
              <w:tab/>
            </w:r>
            <w:r>
              <w:rPr>
                <w:rStyle w:val="Saltoaindice"/>
              </w:rPr>
              <w:t>Scenario 9 – Gestione oscuramento su documenti</w:t>
            </w:r>
            <w:r>
              <w:rPr>
                <w:rStyle w:val="Saltoaindice"/>
                <w:vanish w:val="false"/>
              </w:rPr>
              <w:tab/>
            </w:r>
            <w:r>
              <w:rPr>
                <w:webHidden/>
              </w:rPr>
              <w:fldChar w:fldCharType="begin"/>
            </w:r>
            <w:r>
              <w:rPr>
                <w:webHidden/>
              </w:rPr>
              <w:instrText xml:space="preserve">PAGEREF _Toc173420571 \h</w:instrText>
            </w:r>
            <w:r>
              <w:rPr>
                <w:webHidden/>
              </w:rPr>
              <w:fldChar w:fldCharType="separate"/>
            </w:r>
            <w:r>
              <w:rPr>
                <w:rStyle w:val="Saltoaindice"/>
                <w:vanish/>
              </w:rPr>
              <w:t>143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2">
            <w:r>
              <w:rPr>
                <w:webHidden/>
                <w:rStyle w:val="Saltoaindice"/>
                <w:vanish w:val="false"/>
              </w:rPr>
              <w:t>11.10.</w:t>
            </w:r>
            <w:r>
              <w:rPr>
                <w:rStyle w:val="Saltoaindice"/>
                <w:rFonts w:eastAsia="" w:cs="" w:ascii="Calibri" w:hAnsi="Calibri" w:asciiTheme="minorHAnsi" w:cstheme="minorBidi" w:eastAsiaTheme="minorEastAsia" w:hAnsiTheme="minorHAnsi"/>
                <w:kern w:val="2"/>
                <w:sz w:val="22"/>
                <w:szCs w:val="22"/>
              </w:rPr>
              <w:tab/>
            </w:r>
            <w:r>
              <w:rPr>
                <w:rStyle w:val="Saltoaindice"/>
              </w:rPr>
              <w:t>Scenario 10 – Consultazione log accessi</w:t>
            </w:r>
            <w:r>
              <w:rPr>
                <w:rStyle w:val="Saltoaindice"/>
                <w:vanish w:val="false"/>
              </w:rPr>
              <w:tab/>
            </w:r>
            <w:r>
              <w:rPr>
                <w:webHidden/>
              </w:rPr>
              <w:fldChar w:fldCharType="begin"/>
            </w:r>
            <w:r>
              <w:rPr>
                <w:webHidden/>
              </w:rPr>
              <w:instrText xml:space="preserve">PAGEREF _Toc173420572 \h</w:instrText>
            </w:r>
            <w:r>
              <w:rPr>
                <w:webHidden/>
              </w:rPr>
              <w:fldChar w:fldCharType="separate"/>
            </w:r>
            <w:r>
              <w:rPr>
                <w:rStyle w:val="Saltoaindice"/>
                <w:vanish/>
              </w:rPr>
              <w:t>145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3">
            <w:r>
              <w:rPr>
                <w:webHidden/>
                <w:rStyle w:val="Saltoaindice"/>
                <w:vanish w:val="false"/>
              </w:rPr>
              <w:t>11.11.</w:t>
            </w:r>
            <w:r>
              <w:rPr>
                <w:rStyle w:val="Saltoaindice"/>
                <w:rFonts w:eastAsia="" w:cs="" w:ascii="Calibri" w:hAnsi="Calibri" w:asciiTheme="minorHAnsi" w:cstheme="minorBidi" w:eastAsiaTheme="minorEastAsia" w:hAnsiTheme="minorHAnsi"/>
                <w:kern w:val="2"/>
                <w:sz w:val="22"/>
                <w:szCs w:val="22"/>
              </w:rPr>
              <w:tab/>
            </w:r>
            <w:r>
              <w:rPr>
                <w:rStyle w:val="Saltoaindice"/>
              </w:rPr>
              <w:t>Scenario 11 – Gestione consenso Pregresso</w:t>
            </w:r>
            <w:r>
              <w:rPr>
                <w:rStyle w:val="Saltoaindice"/>
                <w:vanish w:val="false"/>
              </w:rPr>
              <w:tab/>
            </w:r>
            <w:r>
              <w:rPr>
                <w:webHidden/>
              </w:rPr>
              <w:fldChar w:fldCharType="begin"/>
            </w:r>
            <w:r>
              <w:rPr>
                <w:webHidden/>
              </w:rPr>
              <w:instrText xml:space="preserve">PAGEREF _Toc173420573 \h</w:instrText>
            </w:r>
            <w:r>
              <w:rPr>
                <w:webHidden/>
              </w:rPr>
              <w:fldChar w:fldCharType="separate"/>
            </w:r>
            <w:r>
              <w:rPr>
                <w:rStyle w:val="Saltoaindice"/>
                <w:vanish/>
              </w:rPr>
              <w:t>146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4">
            <w:r>
              <w:rPr>
                <w:webHidden/>
                <w:rStyle w:val="Saltoaindice"/>
                <w:vanish w:val="false"/>
              </w:rPr>
              <w:t>11.12</w:t>
            </w:r>
            <w:r>
              <w:rPr>
                <w:rStyle w:val="Saltoaindice"/>
                <w:rFonts w:eastAsia="" w:cs="" w:ascii="Calibri" w:hAnsi="Calibri" w:asciiTheme="minorHAnsi" w:cstheme="minorBidi" w:eastAsiaTheme="minorEastAsia" w:hAnsiTheme="minorHAnsi"/>
                <w:kern w:val="2"/>
                <w:sz w:val="22"/>
                <w:szCs w:val="22"/>
              </w:rPr>
              <w:tab/>
            </w:r>
            <w:r>
              <w:rPr>
                <w:rStyle w:val="Saltoaindice"/>
              </w:rPr>
              <w:t>Scenario 12 – Gestione informativa privacy</w:t>
            </w:r>
            <w:r>
              <w:rPr>
                <w:rStyle w:val="Saltoaindice"/>
                <w:vanish w:val="false"/>
              </w:rPr>
              <w:tab/>
            </w:r>
            <w:r>
              <w:rPr>
                <w:webHidden/>
              </w:rPr>
              <w:fldChar w:fldCharType="begin"/>
            </w:r>
            <w:r>
              <w:rPr>
                <w:webHidden/>
              </w:rPr>
              <w:instrText xml:space="preserve">PAGEREF _Toc173420574 \h</w:instrText>
            </w:r>
            <w:r>
              <w:rPr>
                <w:webHidden/>
              </w:rPr>
              <w:fldChar w:fldCharType="separate"/>
            </w:r>
            <w:r>
              <w:rPr>
                <w:rStyle w:val="Saltoaindice"/>
                <w:vanish/>
              </w:rPr>
              <w:t>148</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5">
            <w:r>
              <w:rPr>
                <w:webHidden/>
                <w:rStyle w:val="Saltoaindice"/>
                <w:vanish w:val="false"/>
              </w:rPr>
              <w:t>12.</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C – Elenco delle anomalie e messaggi di errore</w:t>
            </w:r>
            <w:r>
              <w:rPr>
                <w:rStyle w:val="Saltoaindice"/>
                <w:vanish w:val="false"/>
              </w:rPr>
              <w:tab/>
            </w:r>
            <w:r>
              <w:rPr>
                <w:webHidden/>
              </w:rPr>
              <w:fldChar w:fldCharType="begin"/>
            </w:r>
            <w:r>
              <w:rPr>
                <w:webHidden/>
              </w:rPr>
              <w:instrText xml:space="preserve">PAGEREF _Toc173420575 \h</w:instrText>
            </w:r>
            <w:r>
              <w:rPr>
                <w:webHidden/>
              </w:rPr>
              <w:fldChar w:fldCharType="separate"/>
            </w:r>
            <w:r>
              <w:rPr>
                <w:rStyle w:val="Saltoaindice"/>
                <w:vanish/>
              </w:rPr>
              <w:t>149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6">
            <w:r>
              <w:rPr>
                <w:webHidden/>
                <w:rStyle w:val="Saltoaindice"/>
                <w:vanish w:val="false"/>
              </w:rPr>
              <w:t>12.1.</w:t>
            </w:r>
            <w:r>
              <w:rPr>
                <w:rStyle w:val="Saltoaindice"/>
                <w:rFonts w:eastAsia="" w:cs="" w:ascii="Calibri" w:hAnsi="Calibri" w:asciiTheme="minorHAnsi" w:cstheme="minorBidi" w:eastAsiaTheme="minorEastAsia" w:hAnsiTheme="minorHAnsi"/>
                <w:kern w:val="2"/>
                <w:sz w:val="22"/>
                <w:szCs w:val="22"/>
              </w:rPr>
              <w:tab/>
            </w:r>
            <w:r>
              <w:rPr>
                <w:rStyle w:val="Saltoaindice"/>
              </w:rPr>
              <w:t>Ciclo di Vita Prescrittivo</w:t>
            </w:r>
            <w:r>
              <w:rPr>
                <w:rStyle w:val="Saltoaindice"/>
                <w:vanish w:val="false"/>
              </w:rPr>
              <w:tab/>
            </w:r>
            <w:r>
              <w:rPr>
                <w:webHidden/>
              </w:rPr>
              <w:fldChar w:fldCharType="begin"/>
            </w:r>
            <w:r>
              <w:rPr>
                <w:webHidden/>
              </w:rPr>
              <w:instrText xml:space="preserve">PAGEREF _Toc173420576 \h</w:instrText>
            </w:r>
            <w:r>
              <w:rPr>
                <w:webHidden/>
              </w:rPr>
              <w:fldChar w:fldCharType="separate"/>
            </w:r>
            <w:r>
              <w:rPr>
                <w:rStyle w:val="Saltoaindice"/>
                <w:vanish/>
              </w:rPr>
              <w:t>150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7">
            <w:r>
              <w:rPr>
                <w:webHidden/>
                <w:rStyle w:val="Saltoaindice"/>
                <w:vanish w:val="false"/>
              </w:rPr>
              <w:t>12.2.</w:t>
            </w:r>
            <w:r>
              <w:rPr>
                <w:rStyle w:val="Saltoaindice"/>
                <w:rFonts w:eastAsia="" w:cs="" w:ascii="Calibri" w:hAnsi="Calibri" w:asciiTheme="minorHAnsi" w:cstheme="minorBidi" w:eastAsiaTheme="minorEastAsia" w:hAnsiTheme="minorHAnsi"/>
                <w:kern w:val="2"/>
                <w:sz w:val="22"/>
                <w:szCs w:val="22"/>
              </w:rPr>
              <w:tab/>
            </w:r>
            <w:r>
              <w:rPr>
                <w:rStyle w:val="Saltoaindice"/>
              </w:rPr>
              <w:t>Fascicolo Sanitario Elettronico</w:t>
            </w:r>
            <w:r>
              <w:rPr>
                <w:rStyle w:val="Saltoaindice"/>
                <w:vanish w:val="false"/>
              </w:rPr>
              <w:tab/>
            </w:r>
            <w:r>
              <w:rPr>
                <w:webHidden/>
              </w:rPr>
              <w:fldChar w:fldCharType="begin"/>
            </w:r>
            <w:r>
              <w:rPr>
                <w:webHidden/>
              </w:rPr>
              <w:instrText xml:space="preserve">PAGEREF _Toc173420577 \h</w:instrText>
            </w:r>
            <w:r>
              <w:rPr>
                <w:webHidden/>
              </w:rPr>
              <w:fldChar w:fldCharType="separate"/>
            </w:r>
            <w:r>
              <w:rPr>
                <w:rStyle w:val="Saltoaindice"/>
                <w:vanish/>
              </w:rPr>
              <w:t>157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8">
            <w:r>
              <w:rPr>
                <w:webHidden/>
                <w:rStyle w:val="Saltoaindice"/>
                <w:vanish w:val="false"/>
              </w:rPr>
              <w:t>13.</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D – Esempi di messaggi soap per la chiamata ai servizi</w:t>
            </w:r>
            <w:r>
              <w:rPr>
                <w:rStyle w:val="Saltoaindice"/>
                <w:vanish w:val="false"/>
              </w:rPr>
              <w:tab/>
            </w:r>
            <w:r>
              <w:rPr>
                <w:webHidden/>
              </w:rPr>
              <w:fldChar w:fldCharType="begin"/>
            </w:r>
            <w:r>
              <w:rPr>
                <w:webHidden/>
              </w:rPr>
              <w:instrText xml:space="preserve">PAGEREF _Toc173420578 \h</w:instrText>
            </w:r>
            <w:r>
              <w:rPr>
                <w:webHidden/>
              </w:rPr>
              <w:fldChar w:fldCharType="separate"/>
            </w:r>
            <w:r>
              <w:rPr>
                <w:rStyle w:val="Saltoaindice"/>
                <w:vanish/>
              </w:rPr>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9">
            <w:r>
              <w:rPr>
                <w:webHidden/>
                <w:rStyle w:val="Saltoaindice"/>
                <w:vanish w:val="false"/>
              </w:rPr>
              <w:t>13.1.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addDocument</w:t>
            </w:r>
            <w:r>
              <w:rPr>
                <w:rStyle w:val="Saltoaindice"/>
                <w:vanish w:val="false"/>
              </w:rPr>
              <w:tab/>
            </w:r>
            <w:r>
              <w:rPr>
                <w:webHidden/>
              </w:rPr>
              <w:fldChar w:fldCharType="begin"/>
            </w:r>
            <w:r>
              <w:rPr>
                <w:webHidden/>
              </w:rPr>
              <w:instrText xml:space="preserve">PAGEREF _Toc173420579 \h</w:instrText>
            </w:r>
            <w:r>
              <w:rPr>
                <w:webHidden/>
              </w:rPr>
              <w:fldChar w:fldCharType="separate"/>
            </w:r>
            <w:r>
              <w:rPr>
                <w:rStyle w:val="Saltoaindice"/>
                <w:vanish/>
              </w:rPr>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0">
            <w:r>
              <w:rPr>
                <w:webHidden/>
                <w:rStyle w:val="Saltoaindice"/>
                <w:vanish w:val="false"/>
              </w:rPr>
              <w:t>13.2.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updateDocument</w:t>
            </w:r>
            <w:r>
              <w:rPr>
                <w:rStyle w:val="Saltoaindice"/>
                <w:vanish w:val="false"/>
              </w:rPr>
              <w:tab/>
            </w:r>
            <w:r>
              <w:rPr>
                <w:webHidden/>
              </w:rPr>
              <w:fldChar w:fldCharType="begin"/>
            </w:r>
            <w:r>
              <w:rPr>
                <w:webHidden/>
              </w:rPr>
              <w:instrText xml:space="preserve">PAGEREF _Toc173420580 \h</w:instrText>
            </w:r>
            <w:r>
              <w:rPr>
                <w:webHidden/>
              </w:rPr>
              <w:fldChar w:fldCharType="separate"/>
            </w:r>
            <w:r>
              <w:rPr>
                <w:rStyle w:val="Saltoaindice"/>
                <w:vanish/>
              </w:rPr>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1">
            <w:r>
              <w:rPr>
                <w:webHidden/>
                <w:rStyle w:val="Saltoaindice"/>
                <w:vanish w:val="false"/>
              </w:rPr>
              <w:t>13.2.1</w:t>
            </w:r>
            <w:r>
              <w:rPr>
                <w:rStyle w:val="Saltoaindice"/>
                <w:rFonts w:eastAsia="" w:cs="" w:ascii="Calibri" w:hAnsi="Calibri" w:asciiTheme="minorHAnsi" w:cstheme="minorBidi" w:eastAsiaTheme="minorEastAsia" w:hAnsiTheme="minorHAnsi"/>
                <w:kern w:val="2"/>
                <w:sz w:val="22"/>
                <w:szCs w:val="22"/>
              </w:rPr>
              <w:tab/>
            </w:r>
            <w:r>
              <w:rPr>
                <w:rStyle w:val="Saltoaindice"/>
              </w:rPr>
              <w:t>Modifica di un documento</w:t>
            </w:r>
            <w:r>
              <w:rPr>
                <w:rStyle w:val="Saltoaindice"/>
                <w:vanish w:val="false"/>
              </w:rPr>
              <w:tab/>
            </w:r>
            <w:r>
              <w:rPr>
                <w:webHidden/>
              </w:rPr>
              <w:fldChar w:fldCharType="begin"/>
            </w:r>
            <w:r>
              <w:rPr>
                <w:webHidden/>
              </w:rPr>
              <w:instrText xml:space="preserve">PAGEREF _Toc173420581 \h</w:instrText>
            </w:r>
            <w:r>
              <w:rPr>
                <w:webHidden/>
              </w:rPr>
              <w:fldChar w:fldCharType="separate"/>
            </w:r>
            <w:r>
              <w:rPr>
                <w:rStyle w:val="Saltoaindice"/>
                <w:vanish/>
              </w:rPr>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2">
            <w:r>
              <w:rPr>
                <w:webHidden/>
                <w:rStyle w:val="Saltoaindice"/>
                <w:vanish w:val="false"/>
              </w:rPr>
              <w:t>13.2.2</w:t>
            </w:r>
            <w:r>
              <w:rPr>
                <w:rStyle w:val="Saltoaindice"/>
                <w:rFonts w:eastAsia="" w:cs="" w:ascii="Calibri" w:hAnsi="Calibri" w:asciiTheme="minorHAnsi" w:cstheme="minorBidi" w:eastAsiaTheme="minorEastAsia" w:hAnsiTheme="minorHAnsi"/>
                <w:kern w:val="2"/>
                <w:sz w:val="22"/>
                <w:szCs w:val="22"/>
              </w:rPr>
              <w:tab/>
            </w:r>
            <w:r>
              <w:rPr>
                <w:rStyle w:val="Saltoaindice"/>
              </w:rPr>
              <w:t>Annullo di un documento</w:t>
            </w:r>
            <w:r>
              <w:rPr>
                <w:rStyle w:val="Saltoaindice"/>
                <w:vanish w:val="false"/>
              </w:rPr>
              <w:tab/>
            </w:r>
            <w:r>
              <w:rPr>
                <w:webHidden/>
              </w:rPr>
              <w:fldChar w:fldCharType="begin"/>
            </w:r>
            <w:r>
              <w:rPr>
                <w:webHidden/>
              </w:rPr>
              <w:instrText xml:space="preserve">PAGEREF _Toc173420582 \h</w:instrText>
            </w:r>
            <w:r>
              <w:rPr>
                <w:webHidden/>
              </w:rPr>
              <w:fldChar w:fldCharType="separate"/>
            </w:r>
            <w:r>
              <w:rPr>
                <w:rStyle w:val="Saltoaindice"/>
                <w:vanish/>
              </w:rPr>
              <w:t>172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3">
            <w:r>
              <w:rPr>
                <w:webHidden/>
                <w:rStyle w:val="Saltoaindice"/>
                <w:vanish w:val="false"/>
              </w:rPr>
              <w:t>13.3.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queryDocument</w:t>
            </w:r>
            <w:r>
              <w:rPr>
                <w:rStyle w:val="Saltoaindice"/>
                <w:vanish w:val="false"/>
              </w:rPr>
              <w:tab/>
            </w:r>
            <w:r>
              <w:rPr>
                <w:webHidden/>
              </w:rPr>
              <w:fldChar w:fldCharType="begin"/>
            </w:r>
            <w:r>
              <w:rPr>
                <w:webHidden/>
              </w:rPr>
              <w:instrText xml:space="preserve">PAGEREF _Toc173420583 \h</w:instrText>
            </w:r>
            <w:r>
              <w:rPr>
                <w:webHidden/>
              </w:rPr>
              <w:fldChar w:fldCharType="separate"/>
            </w:r>
            <w:r>
              <w:rPr>
                <w:rStyle w:val="Saltoaindice"/>
                <w:vanish/>
              </w:rPr>
              <w:t>176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4">
            <w:r>
              <w:rPr>
                <w:webHidden/>
                <w:rStyle w:val="Saltoaindice"/>
                <w:vanish w:val="false"/>
              </w:rPr>
              <w:t>13.4.</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retrieveDocument</w:t>
            </w:r>
            <w:r>
              <w:rPr>
                <w:rStyle w:val="Saltoaindice"/>
                <w:vanish w:val="false"/>
              </w:rPr>
              <w:tab/>
            </w:r>
            <w:r>
              <w:rPr>
                <w:webHidden/>
              </w:rPr>
              <w:fldChar w:fldCharType="begin"/>
            </w:r>
            <w:r>
              <w:rPr>
                <w:webHidden/>
              </w:rPr>
              <w:instrText xml:space="preserve">PAGEREF _Toc173420584 \h</w:instrText>
            </w:r>
            <w:r>
              <w:rPr>
                <w:webHidden/>
              </w:rPr>
              <w:fldChar w:fldCharType="separate"/>
            </w:r>
            <w:r>
              <w:rPr>
                <w:rStyle w:val="Saltoaindice"/>
                <w:vanish/>
              </w:rPr>
              <w:t>190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5">
            <w:r>
              <w:rPr>
                <w:webHidden/>
                <w:rStyle w:val="Saltoaindice"/>
                <w:vanish w:val="false"/>
              </w:rPr>
              <w:t>13.5.</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setWritingAgreement</w:t>
            </w:r>
            <w:r>
              <w:rPr>
                <w:rStyle w:val="Saltoaindice"/>
                <w:vanish w:val="false"/>
              </w:rPr>
              <w:tab/>
            </w:r>
            <w:r>
              <w:rPr>
                <w:webHidden/>
              </w:rPr>
              <w:fldChar w:fldCharType="begin"/>
            </w:r>
            <w:r>
              <w:rPr>
                <w:webHidden/>
              </w:rPr>
              <w:instrText xml:space="preserve">PAGEREF _Toc173420585 \h</w:instrText>
            </w:r>
            <w:r>
              <w:rPr>
                <w:webHidden/>
              </w:rPr>
              <w:fldChar w:fldCharType="separate"/>
            </w:r>
            <w:r>
              <w:rPr>
                <w:rStyle w:val="Saltoaindice"/>
                <w:vanish/>
              </w:rPr>
              <w:t>192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6">
            <w:r>
              <w:rPr>
                <w:webHidden/>
                <w:rStyle w:val="Saltoaindice"/>
                <w:vanish w:val="false"/>
              </w:rPr>
              <w:t>13.6.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getWritingAgreement</w:t>
            </w:r>
            <w:r>
              <w:rPr>
                <w:rStyle w:val="Saltoaindice"/>
                <w:vanish w:val="false"/>
              </w:rPr>
              <w:tab/>
            </w:r>
            <w:r>
              <w:rPr>
                <w:webHidden/>
              </w:rPr>
              <w:fldChar w:fldCharType="begin"/>
            </w:r>
            <w:r>
              <w:rPr>
                <w:webHidden/>
              </w:rPr>
              <w:instrText xml:space="preserve">PAGEREF _Toc173420586 \h</w:instrText>
            </w:r>
            <w:r>
              <w:rPr>
                <w:webHidden/>
              </w:rPr>
              <w:fldChar w:fldCharType="separate"/>
            </w:r>
            <w:r>
              <w:rPr>
                <w:rStyle w:val="Saltoaindice"/>
                <w:vanish/>
              </w:rPr>
              <w:t>194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7">
            <w:r>
              <w:rPr>
                <w:webHidden/>
                <w:rStyle w:val="Saltoaindice"/>
                <w:vanish w:val="false"/>
              </w:rPr>
              <w:t>13.7.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setReadingAgreement</w:t>
            </w:r>
            <w:r>
              <w:rPr>
                <w:rStyle w:val="Saltoaindice"/>
                <w:vanish w:val="false"/>
              </w:rPr>
              <w:tab/>
            </w:r>
            <w:r>
              <w:rPr>
                <w:webHidden/>
              </w:rPr>
              <w:fldChar w:fldCharType="begin"/>
            </w:r>
            <w:r>
              <w:rPr>
                <w:webHidden/>
              </w:rPr>
              <w:instrText xml:space="preserve">PAGEREF _Toc173420587 \h</w:instrText>
            </w:r>
            <w:r>
              <w:rPr>
                <w:webHidden/>
              </w:rPr>
              <w:fldChar w:fldCharType="separate"/>
            </w:r>
            <w:r>
              <w:rPr>
                <w:rStyle w:val="Saltoaindice"/>
                <w:vanish/>
              </w:rPr>
              <w:t>196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8">
            <w:r>
              <w:rPr>
                <w:webHidden/>
                <w:rStyle w:val="Saltoaindice"/>
                <w:vanish w:val="false"/>
              </w:rPr>
              <w:t>13.8.</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getReadingAgreement</w:t>
            </w:r>
            <w:r>
              <w:rPr>
                <w:rStyle w:val="Saltoaindice"/>
                <w:vanish w:val="false"/>
              </w:rPr>
              <w:tab/>
            </w:r>
            <w:r>
              <w:rPr>
                <w:webHidden/>
              </w:rPr>
              <w:fldChar w:fldCharType="begin"/>
            </w:r>
            <w:r>
              <w:rPr>
                <w:webHidden/>
              </w:rPr>
              <w:instrText xml:space="preserve">PAGEREF _Toc173420588 \h</w:instrText>
            </w:r>
            <w:r>
              <w:rPr>
                <w:webHidden/>
              </w:rPr>
              <w:fldChar w:fldCharType="separate"/>
            </w:r>
            <w:r>
              <w:rPr>
                <w:rStyle w:val="Saltoaindice"/>
                <w:vanish/>
              </w:rPr>
              <w:t>198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9">
            <w:r>
              <w:rPr>
                <w:webHidden/>
                <w:rStyle w:val="Saltoaindice"/>
                <w:vanish w:val="false"/>
              </w:rPr>
              <w:t>13.9.</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blindDocument</w:t>
            </w:r>
            <w:r>
              <w:rPr>
                <w:rStyle w:val="Saltoaindice"/>
                <w:vanish w:val="false"/>
              </w:rPr>
              <w:tab/>
            </w:r>
            <w:r>
              <w:rPr>
                <w:webHidden/>
              </w:rPr>
              <w:fldChar w:fldCharType="begin"/>
            </w:r>
            <w:r>
              <w:rPr>
                <w:webHidden/>
              </w:rPr>
              <w:instrText xml:space="preserve">PAGEREF _Toc173420589 \h</w:instrText>
            </w:r>
            <w:r>
              <w:rPr>
                <w:webHidden/>
              </w:rPr>
              <w:fldChar w:fldCharType="separate"/>
            </w:r>
            <w:r>
              <w:rPr>
                <w:rStyle w:val="Saltoaindice"/>
                <w:vanish/>
              </w:rPr>
              <w:t>201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0">
            <w:r>
              <w:rPr>
                <w:webHidden/>
                <w:rStyle w:val="Saltoaindice"/>
                <w:vanish w:val="false"/>
              </w:rPr>
              <w:t>13.10.</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getAccessLog</w:t>
            </w:r>
            <w:r>
              <w:rPr>
                <w:rStyle w:val="Saltoaindice"/>
                <w:vanish w:val="false"/>
              </w:rPr>
              <w:tab/>
            </w:r>
            <w:r>
              <w:rPr>
                <w:webHidden/>
              </w:rPr>
              <w:fldChar w:fldCharType="begin"/>
            </w:r>
            <w:r>
              <w:rPr>
                <w:webHidden/>
              </w:rPr>
              <w:instrText xml:space="preserve">PAGEREF _Toc173420590 \h</w:instrText>
            </w:r>
            <w:r>
              <w:rPr>
                <w:webHidden/>
              </w:rPr>
              <w:fldChar w:fldCharType="separate"/>
            </w:r>
            <w:r>
              <w:rPr>
                <w:rStyle w:val="Saltoaindice"/>
                <w:vanish/>
              </w:rPr>
              <w:t>203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1">
            <w:r>
              <w:rPr>
                <w:webHidden/>
                <w:rStyle w:val="Saltoaindice"/>
                <w:vanish w:val="false"/>
              </w:rPr>
              <w:t>13.11.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getPreviousAgreement</w:t>
            </w:r>
            <w:r>
              <w:rPr>
                <w:rStyle w:val="Saltoaindice"/>
                <w:vanish w:val="false"/>
              </w:rPr>
              <w:tab/>
            </w:r>
            <w:r>
              <w:rPr>
                <w:webHidden/>
              </w:rPr>
              <w:fldChar w:fldCharType="begin"/>
            </w:r>
            <w:r>
              <w:rPr>
                <w:webHidden/>
              </w:rPr>
              <w:instrText xml:space="preserve">PAGEREF _Toc173420591 \h</w:instrText>
            </w:r>
            <w:r>
              <w:rPr>
                <w:webHidden/>
              </w:rPr>
              <w:fldChar w:fldCharType="separate"/>
            </w:r>
            <w:r>
              <w:rPr>
                <w:rStyle w:val="Saltoaindice"/>
                <w:vanish/>
              </w:rPr>
              <w:t>205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2">
            <w:r>
              <w:rPr>
                <w:webHidden/>
                <w:rStyle w:val="Saltoaindice"/>
                <w:vanish w:val="false"/>
              </w:rPr>
              <w:t>13.12.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setPreviousAgreement</w:t>
            </w:r>
            <w:r>
              <w:rPr>
                <w:rStyle w:val="Saltoaindice"/>
                <w:vanish w:val="false"/>
              </w:rPr>
              <w:tab/>
            </w:r>
            <w:r>
              <w:rPr>
                <w:webHidden/>
              </w:rPr>
              <w:fldChar w:fldCharType="begin"/>
            </w:r>
            <w:r>
              <w:rPr>
                <w:webHidden/>
              </w:rPr>
              <w:instrText xml:space="preserve">PAGEREF _Toc173420592 \h</w:instrText>
            </w:r>
            <w:r>
              <w:rPr>
                <w:webHidden/>
              </w:rPr>
              <w:fldChar w:fldCharType="separate"/>
            </w:r>
            <w:r>
              <w:rPr>
                <w:rStyle w:val="Saltoaindice"/>
                <w:vanish/>
              </w:rPr>
              <w:t>207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3">
            <w:r>
              <w:rPr>
                <w:webHidden/>
                <w:rStyle w:val="Saltoaindice"/>
                <w:rFonts w:eastAsia="SimSun"/>
                <w:vanish w:val="false"/>
                <w:lang w:val="en-US"/>
              </w:rPr>
              <w:t>13.15.</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getAgreements</w:t>
            </w:r>
            <w:r>
              <w:rPr>
                <w:rStyle w:val="Saltoaindice"/>
                <w:vanish w:val="false"/>
              </w:rPr>
              <w:tab/>
            </w:r>
            <w:r>
              <w:rPr>
                <w:webHidden/>
              </w:rPr>
              <w:fldChar w:fldCharType="begin"/>
            </w:r>
            <w:r>
              <w:rPr>
                <w:webHidden/>
              </w:rPr>
              <w:instrText xml:space="preserve">PAGEREF _Toc173420593 \h</w:instrText>
            </w:r>
            <w:r>
              <w:rPr>
                <w:webHidden/>
              </w:rPr>
              <w:fldChar w:fldCharType="separate"/>
            </w:r>
            <w:r>
              <w:rPr>
                <w:rStyle w:val="Saltoaindice"/>
                <w:vanish/>
              </w:rPr>
              <w:t>208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4">
            <w:r>
              <w:rPr>
                <w:webHidden/>
                <w:rStyle w:val="Saltoaindice"/>
                <w:rFonts w:eastAsia="SimSun"/>
                <w:vanish w:val="false"/>
                <w:lang w:val="en-US"/>
              </w:rPr>
              <w:t>13.16.</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setDisclosure</w:t>
            </w:r>
            <w:r>
              <w:rPr>
                <w:rStyle w:val="Saltoaindice"/>
                <w:vanish w:val="false"/>
              </w:rPr>
              <w:tab/>
            </w:r>
            <w:r>
              <w:rPr>
                <w:webHidden/>
              </w:rPr>
              <w:fldChar w:fldCharType="begin"/>
            </w:r>
            <w:r>
              <w:rPr>
                <w:webHidden/>
              </w:rPr>
              <w:instrText xml:space="preserve">PAGEREF _Toc173420594 \h</w:instrText>
            </w:r>
            <w:r>
              <w:rPr>
                <w:webHidden/>
              </w:rPr>
              <w:fldChar w:fldCharType="separate"/>
            </w:r>
            <w:r>
              <w:rPr>
                <w:rStyle w:val="Saltoaindice"/>
                <w:vanish/>
              </w:rPr>
              <w:t>210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5">
            <w:r>
              <w:rPr>
                <w:webHidden/>
                <w:rStyle w:val="Saltoaindice"/>
                <w:rFonts w:eastAsia="SimSun"/>
                <w:vanish w:val="false"/>
                <w:lang w:val="en-US"/>
              </w:rPr>
              <w:t>13.17.</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setAgreements</w:t>
            </w:r>
            <w:r>
              <w:rPr>
                <w:rStyle w:val="Saltoaindice"/>
                <w:vanish w:val="false"/>
              </w:rPr>
              <w:tab/>
            </w:r>
            <w:r>
              <w:rPr>
                <w:webHidden/>
              </w:rPr>
              <w:fldChar w:fldCharType="begin"/>
            </w:r>
            <w:r>
              <w:rPr>
                <w:webHidden/>
              </w:rPr>
              <w:instrText xml:space="preserve">PAGEREF _Toc173420595 \h</w:instrText>
            </w:r>
            <w:r>
              <w:rPr>
                <w:webHidden/>
              </w:rPr>
              <w:fldChar w:fldCharType="separate"/>
            </w:r>
            <w:r>
              <w:rPr>
                <w:rStyle w:val="Saltoaindice"/>
                <w:vanish/>
              </w:rPr>
              <w:t>212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96">
            <w:r>
              <w:rPr>
                <w:webHidden/>
                <w:rStyle w:val="Saltoaindice"/>
                <w:vanish w:val="false"/>
              </w:rPr>
              <w:t>14.</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E – Scenari di integrazione Ciclo di Vita Prescrittivo Ricetta Bianca</w:t>
            </w:r>
            <w:r>
              <w:rPr>
                <w:rStyle w:val="Saltoaindice"/>
                <w:vanish w:val="false"/>
              </w:rPr>
              <w:tab/>
            </w:r>
            <w:r>
              <w:rPr>
                <w:webHidden/>
              </w:rPr>
              <w:fldChar w:fldCharType="begin"/>
            </w:r>
            <w:r>
              <w:rPr>
                <w:webHidden/>
              </w:rPr>
              <w:instrText xml:space="preserve">PAGEREF _Toc173420596 \h</w:instrText>
            </w:r>
            <w:r>
              <w:rPr>
                <w:webHidden/>
              </w:rPr>
              <w:fldChar w:fldCharType="separate"/>
            </w:r>
            <w:r>
              <w:rPr>
                <w:rStyle w:val="Saltoaindice"/>
                <w:vanish/>
              </w:rPr>
              <w:t>213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7">
            <w:r>
              <w:rPr>
                <w:webHidden/>
                <w:rStyle w:val="Saltoaindice"/>
                <w:vanish w:val="false"/>
              </w:rPr>
              <w:t>14.1.</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cartelle cliniche</w:t>
            </w:r>
            <w:r>
              <w:rPr>
                <w:rStyle w:val="Saltoaindice"/>
                <w:vanish w:val="false"/>
              </w:rPr>
              <w:tab/>
            </w:r>
            <w:r>
              <w:rPr>
                <w:webHidden/>
              </w:rPr>
              <w:fldChar w:fldCharType="begin"/>
            </w:r>
            <w:r>
              <w:rPr>
                <w:webHidden/>
              </w:rPr>
              <w:instrText xml:space="preserve">PAGEREF _Toc173420597 \h</w:instrText>
            </w:r>
            <w:r>
              <w:rPr>
                <w:webHidden/>
              </w:rPr>
              <w:fldChar w:fldCharType="separate"/>
            </w:r>
            <w:r>
              <w:rPr>
                <w:rStyle w:val="Saltoaindice"/>
                <w:vanish/>
              </w:rPr>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8">
            <w:r>
              <w:rPr>
                <w:webHidden/>
                <w:rStyle w:val="Saltoaindice"/>
                <w:vanish w:val="false"/>
              </w:rPr>
              <w:t>14.1.1</w:t>
            </w:r>
            <w:r>
              <w:rPr>
                <w:rStyle w:val="Saltoaindice"/>
                <w:rFonts w:eastAsia="" w:cs="" w:ascii="Calibri" w:hAnsi="Calibri" w:asciiTheme="minorHAnsi" w:cstheme="minorBidi" w:eastAsiaTheme="minorEastAsia" w:hAnsiTheme="minorHAnsi"/>
                <w:kern w:val="2"/>
                <w:sz w:val="22"/>
                <w:szCs w:val="22"/>
              </w:rPr>
              <w:tab/>
            </w:r>
            <w:r>
              <w:rPr>
                <w:rStyle w:val="Saltoaindice"/>
              </w:rPr>
              <w:t>Emettere prescrizione NSSN</w:t>
            </w:r>
            <w:r>
              <w:rPr>
                <w:rStyle w:val="Saltoaindice"/>
                <w:vanish w:val="false"/>
              </w:rPr>
              <w:tab/>
            </w:r>
            <w:r>
              <w:rPr>
                <w:webHidden/>
              </w:rPr>
              <w:fldChar w:fldCharType="begin"/>
            </w:r>
            <w:r>
              <w:rPr>
                <w:webHidden/>
              </w:rPr>
              <w:instrText xml:space="preserve">PAGEREF _Toc173420598 \h</w:instrText>
            </w:r>
            <w:r>
              <w:rPr>
                <w:webHidden/>
              </w:rPr>
              <w:fldChar w:fldCharType="separate"/>
            </w:r>
            <w:r>
              <w:rPr>
                <w:rStyle w:val="Saltoaindice"/>
                <w:vanish/>
              </w:rPr>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9">
            <w:r>
              <w:rPr>
                <w:webHidden/>
                <w:rStyle w:val="Saltoaindice"/>
                <w:vanish w:val="false"/>
              </w:rPr>
              <w:t>14.1.2</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prescrizione NSSN</w:t>
            </w:r>
            <w:r>
              <w:rPr>
                <w:rStyle w:val="Saltoaindice"/>
                <w:vanish w:val="false"/>
              </w:rPr>
              <w:tab/>
            </w:r>
            <w:r>
              <w:rPr>
                <w:webHidden/>
              </w:rPr>
              <w:fldChar w:fldCharType="begin"/>
            </w:r>
            <w:r>
              <w:rPr>
                <w:webHidden/>
              </w:rPr>
              <w:instrText xml:space="preserve">PAGEREF _Toc173420599 \h</w:instrText>
            </w:r>
            <w:r>
              <w:rPr>
                <w:webHidden/>
              </w:rPr>
              <w:fldChar w:fldCharType="separate"/>
            </w:r>
            <w:r>
              <w:rPr>
                <w:rStyle w:val="Saltoaindice"/>
                <w:vanish/>
              </w:rPr>
              <w:t>214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0">
            <w:r>
              <w:rPr>
                <w:webHidden/>
                <w:rStyle w:val="Saltoaindice"/>
                <w:vanish w:val="false"/>
              </w:rPr>
              <w:t>14.1.3</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NSSN</w:t>
            </w:r>
            <w:r>
              <w:rPr>
                <w:rStyle w:val="Saltoaindice"/>
                <w:vanish w:val="false"/>
              </w:rPr>
              <w:tab/>
            </w:r>
            <w:r>
              <w:rPr>
                <w:webHidden/>
              </w:rPr>
              <w:fldChar w:fldCharType="begin"/>
            </w:r>
            <w:r>
              <w:rPr>
                <w:webHidden/>
              </w:rPr>
              <w:instrText xml:space="preserve">PAGEREF _Toc173420600 \h</w:instrText>
            </w:r>
            <w:r>
              <w:rPr>
                <w:webHidden/>
              </w:rPr>
              <w:fldChar w:fldCharType="separate"/>
            </w:r>
            <w:r>
              <w:rPr>
                <w:rStyle w:val="Saltoaindice"/>
                <w:vanish/>
              </w:rPr>
              <w:t>214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601">
            <w:r>
              <w:rPr>
                <w:webHidden/>
                <w:rStyle w:val="Saltoaindice"/>
                <w:vanish w:val="false"/>
              </w:rPr>
              <w:t>14.2.</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integrazioneper gestionali di farmacie</w:t>
            </w:r>
            <w:r>
              <w:rPr>
                <w:rStyle w:val="Saltoaindice"/>
                <w:vanish w:val="false"/>
              </w:rPr>
              <w:tab/>
            </w:r>
            <w:r>
              <w:rPr>
                <w:webHidden/>
              </w:rPr>
              <w:fldChar w:fldCharType="begin"/>
            </w:r>
            <w:r>
              <w:rPr>
                <w:webHidden/>
              </w:rPr>
              <w:instrText xml:space="preserve">PAGEREF _Toc173420601 \h</w:instrText>
            </w:r>
            <w:r>
              <w:rPr>
                <w:webHidden/>
              </w:rPr>
              <w:fldChar w:fldCharType="separate"/>
            </w:r>
            <w:r>
              <w:rPr>
                <w:rStyle w:val="Saltoaindice"/>
                <w:vanish/>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2">
            <w:r>
              <w:rPr>
                <w:webHidden/>
                <w:rStyle w:val="Saltoaindice"/>
                <w:vanish w:val="false"/>
              </w:rPr>
              <w:t>14.2.1</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 NSSN</w:t>
            </w:r>
            <w:r>
              <w:rPr>
                <w:rStyle w:val="Saltoaindice"/>
                <w:vanish w:val="false"/>
              </w:rPr>
              <w:tab/>
            </w:r>
            <w:r>
              <w:rPr>
                <w:webHidden/>
              </w:rPr>
              <w:fldChar w:fldCharType="begin"/>
            </w:r>
            <w:r>
              <w:rPr>
                <w:webHidden/>
              </w:rPr>
              <w:instrText xml:space="preserve">PAGEREF _Toc173420602 \h</w:instrText>
            </w:r>
            <w:r>
              <w:rPr>
                <w:webHidden/>
              </w:rPr>
              <w:fldChar w:fldCharType="separate"/>
            </w:r>
            <w:r>
              <w:rPr>
                <w:rStyle w:val="Saltoaindice"/>
                <w:vanish/>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3">
            <w:r>
              <w:rPr>
                <w:webHidden/>
                <w:rStyle w:val="Saltoaindice"/>
                <w:vanish w:val="false"/>
              </w:rPr>
              <w:t>14.2.2</w:t>
            </w:r>
            <w:r>
              <w:rPr>
                <w:rStyle w:val="Saltoaindice"/>
                <w:rFonts w:eastAsia="" w:cs="" w:ascii="Calibri" w:hAnsi="Calibri" w:asciiTheme="minorHAnsi" w:cstheme="minorBidi" w:eastAsiaTheme="minorEastAsia" w:hAnsiTheme="minorHAnsi"/>
                <w:kern w:val="2"/>
                <w:sz w:val="22"/>
                <w:szCs w:val="22"/>
              </w:rPr>
              <w:tab/>
            </w:r>
            <w:r>
              <w:rPr>
                <w:rStyle w:val="Saltoaindice"/>
              </w:rPr>
              <w:t>Rilascio della presa in carico di una ricetta NSSN</w:t>
            </w:r>
            <w:r>
              <w:rPr>
                <w:rStyle w:val="Saltoaindice"/>
                <w:vanish w:val="false"/>
              </w:rPr>
              <w:tab/>
            </w:r>
            <w:r>
              <w:rPr>
                <w:webHidden/>
              </w:rPr>
              <w:fldChar w:fldCharType="begin"/>
            </w:r>
            <w:r>
              <w:rPr>
                <w:webHidden/>
              </w:rPr>
              <w:instrText xml:space="preserve">PAGEREF _Toc173420603 \h</w:instrText>
            </w:r>
            <w:r>
              <w:rPr>
                <w:webHidden/>
              </w:rPr>
              <w:fldChar w:fldCharType="separate"/>
            </w:r>
            <w:r>
              <w:rPr>
                <w:rStyle w:val="Saltoaindice"/>
                <w:vanish/>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4">
            <w:r>
              <w:rPr>
                <w:webHidden/>
                <w:rStyle w:val="Saltoaindice"/>
                <w:vanish w:val="false"/>
              </w:rPr>
              <w:t>14.2.3</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farmaceutica NSSN</w:t>
            </w:r>
            <w:r>
              <w:rPr>
                <w:rStyle w:val="Saltoaindice"/>
                <w:vanish w:val="false"/>
              </w:rPr>
              <w:tab/>
            </w:r>
            <w:r>
              <w:rPr>
                <w:webHidden/>
              </w:rPr>
              <w:fldChar w:fldCharType="begin"/>
            </w:r>
            <w:r>
              <w:rPr>
                <w:webHidden/>
              </w:rPr>
              <w:instrText xml:space="preserve">PAGEREF _Toc173420604 \h</w:instrText>
            </w:r>
            <w:r>
              <w:rPr>
                <w:webHidden/>
              </w:rPr>
              <w:fldChar w:fldCharType="separate"/>
            </w:r>
            <w:r>
              <w:rPr>
                <w:rStyle w:val="Saltoaindice"/>
                <w:vanish/>
              </w:rPr>
              <w:t>216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5">
            <w:r>
              <w:rPr>
                <w:webHidden/>
                <w:rStyle w:val="Saltoaindice"/>
                <w:vanish w:val="false"/>
              </w:rPr>
              <w:t>14.2.4</w:t>
            </w:r>
            <w:r>
              <w:rPr>
                <w:rStyle w:val="Saltoaindice"/>
                <w:rFonts w:eastAsia="" w:cs="" w:ascii="Calibri" w:hAnsi="Calibri" w:asciiTheme="minorHAnsi" w:cstheme="minorBidi" w:eastAsiaTheme="minorEastAsia" w:hAnsiTheme="minorHAnsi"/>
                <w:kern w:val="2"/>
                <w:sz w:val="22"/>
                <w:szCs w:val="22"/>
              </w:rPr>
              <w:tab/>
            </w:r>
            <w:r>
              <w:rPr>
                <w:rStyle w:val="Saltoaindice"/>
              </w:rPr>
              <w:t>Sospendere erogazione farmaceutica NSSN</w:t>
            </w:r>
            <w:r>
              <w:rPr>
                <w:rStyle w:val="Saltoaindice"/>
                <w:vanish w:val="false"/>
              </w:rPr>
              <w:tab/>
            </w:r>
            <w:r>
              <w:rPr>
                <w:webHidden/>
              </w:rPr>
              <w:fldChar w:fldCharType="begin"/>
            </w:r>
            <w:r>
              <w:rPr>
                <w:webHidden/>
              </w:rPr>
              <w:instrText xml:space="preserve">PAGEREF _Toc173420605 \h</w:instrText>
            </w:r>
            <w:r>
              <w:rPr>
                <w:webHidden/>
              </w:rPr>
              <w:fldChar w:fldCharType="separate"/>
            </w:r>
            <w:r>
              <w:rPr>
                <w:rStyle w:val="Saltoaindice"/>
                <w:vanish/>
              </w:rPr>
              <w:t>216</w:t>
            </w:r>
            <w:r>
              <w:rPr>
                <w:webHidden/>
              </w:rPr>
              <w:fldChar w:fldCharType="end"/>
            </w:r>
          </w:hyperlink>
          <w:r>
            <w:rPr>
              <w:rStyle w:val="Saltoaindice"/>
              <w:vanish/>
            </w:rPr>
            <w:fldChar w:fldCharType="end"/>
          </w:r>
        </w:p>
      </w:sdtContent>
    </w:sdt>
    <w:p>
      <w:pPr>
        <w:pStyle w:val="Normal"/>
        <w:ind w:left="0"/>
        <w:rPr>
          <w:i/>
          <w:i/>
          <w:iCs/>
          <w:vertAlign w:val="subscript"/>
        </w:rPr>
      </w:pPr>
      <w:r>
        <w:rPr>
          <w:i/>
          <w:iCs/>
          <w:vertAlign w:val="subscript"/>
        </w:rPr>
      </w:r>
      <w:r>
        <w:br w:type="page"/>
      </w:r>
    </w:p>
    <w:p>
      <w:pPr>
        <w:pStyle w:val="Heading1"/>
        <w:spacing w:before="0" w:after="120"/>
        <w:ind w:left="851" w:right="1359"/>
        <w:rPr/>
      </w:pPr>
      <w:bookmarkStart w:id="6" w:name="_Toc173420490"/>
      <w:bookmarkStart w:id="7" w:name="_Toc438993486"/>
      <w:bookmarkStart w:id="8" w:name="_Toc421005863"/>
      <w:r>
        <w:rPr/>
        <w:t>Introduzione</w:t>
      </w:r>
      <w:bookmarkEnd w:id="6"/>
      <w:bookmarkEnd w:id="7"/>
      <w:bookmarkEnd w:id="8"/>
    </w:p>
    <w:p>
      <w:pPr>
        <w:pStyle w:val="Normal"/>
        <w:jc w:val="both"/>
        <w:rPr/>
      </w:pPr>
      <w:r>
        <w:rPr/>
        <w:t>Questo documento descrive le specifiche dei servizi esposti dal Sistema Informativo Sanitario Territoriale della Regione Puglia (SIST) che devono essere integrati dai client del sistema.</w:t>
      </w:r>
    </w:p>
    <w:p>
      <w:pPr>
        <w:pStyle w:val="Normal"/>
        <w:jc w:val="both"/>
        <w:rPr/>
      </w:pPr>
      <w:r>
        <w:rPr/>
        <w:t xml:space="preserve">Molti dei WS descritti devono essere utilizzati dai diversi soggetti interessati a integrare sw utilizzati dagli operatori sanitari. </w:t>
      </w:r>
    </w:p>
    <w:p>
      <w:pPr>
        <w:pStyle w:val="Heading1"/>
        <w:ind w:left="851" w:right="1359"/>
        <w:rPr/>
      </w:pPr>
      <w:bookmarkStart w:id="9" w:name="_Toc173420491"/>
      <w:bookmarkStart w:id="10" w:name="_Toc438993487"/>
      <w:bookmarkStart w:id="11" w:name="_Toc142106571"/>
      <w:bookmarkStart w:id="12" w:name="_Toc421005864"/>
      <w:r>
        <w:rPr/>
        <w:t>Scopo e Campo di Applicazione</w:t>
      </w:r>
      <w:bookmarkEnd w:id="9"/>
      <w:bookmarkEnd w:id="10"/>
      <w:bookmarkEnd w:id="11"/>
      <w:bookmarkEnd w:id="12"/>
    </w:p>
    <w:p>
      <w:pPr>
        <w:pStyle w:val="Header"/>
        <w:tabs>
          <w:tab w:val="clear" w:pos="4819"/>
          <w:tab w:val="clear" w:pos="9638"/>
        </w:tabs>
        <w:jc w:val="both"/>
        <w:rPr/>
      </w:pPr>
      <w:r>
        <w:rPr/>
        <w:t>Il presente documento è destinato a tutti gli sviluppatori degli applicativi di terze parti che devono integrarsi con il SIST via API web services.</w:t>
      </w:r>
    </w:p>
    <w:p>
      <w:pPr>
        <w:pStyle w:val="Header"/>
        <w:tabs>
          <w:tab w:val="clear" w:pos="4819"/>
          <w:tab w:val="clear" w:pos="9638"/>
        </w:tabs>
        <w:jc w:val="both"/>
        <w:rPr/>
      </w:pPr>
      <w:r>
        <w:rPr/>
        <w:t>Esso costituisce la specifica di riferimento per l’integrazione dei servizi e descrive tutti i web service esposti dal SIST, in termini di struttura e contenuto dei messaggi di richiesta/risposta.</w:t>
      </w:r>
    </w:p>
    <w:p>
      <w:pPr>
        <w:pStyle w:val="Heading1"/>
        <w:ind w:left="851" w:right="1359"/>
        <w:rPr/>
      </w:pPr>
      <w:bookmarkStart w:id="13" w:name="_Toc421005865"/>
      <w:bookmarkStart w:id="14" w:name="_Toc173420492"/>
      <w:bookmarkStart w:id="15" w:name="_Toc438993488"/>
      <w:bookmarkStart w:id="16" w:name="_Toc142106572"/>
      <w:r>
        <w:rPr/>
        <w:t>Riferimenti</w:t>
      </w:r>
      <w:bookmarkEnd w:id="13"/>
      <w:bookmarkEnd w:id="14"/>
      <w:bookmarkEnd w:id="15"/>
      <w:bookmarkEnd w:id="16"/>
    </w:p>
    <w:p>
      <w:pPr>
        <w:pStyle w:val="Normal"/>
        <w:numPr>
          <w:ilvl w:val="0"/>
          <w:numId w:val="3"/>
        </w:numPr>
        <w:jc w:val="both"/>
        <w:rPr/>
      </w:pPr>
      <w:r>
        <w:rPr/>
        <w:t>Regione Puglia DGR 240/2013 – Disposizioni attuative per la dematerializzazione della ricetta medica</w:t>
      </w:r>
    </w:p>
    <w:p>
      <w:pPr>
        <w:pStyle w:val="Normal"/>
        <w:numPr>
          <w:ilvl w:val="0"/>
          <w:numId w:val="3"/>
        </w:numPr>
        <w:jc w:val="both"/>
        <w:rPr/>
      </w:pPr>
      <w:r>
        <w:rPr/>
        <w:t>Regione Puglia DGR 1391/2014 – Piano di diffusione della ricetta dematerializzata in regione Puglia – avvio a regime</w:t>
      </w:r>
    </w:p>
    <w:p>
      <w:pPr>
        <w:pStyle w:val="Normal"/>
        <w:numPr>
          <w:ilvl w:val="0"/>
          <w:numId w:val="3"/>
        </w:numPr>
        <w:jc w:val="both"/>
        <w:rPr/>
      </w:pPr>
      <w:r>
        <w:rPr/>
        <w:t>Specifica della Erogazione – Specifica in formato HL7 – CDA Rel. 2</w:t>
      </w:r>
    </w:p>
    <w:p>
      <w:pPr>
        <w:pStyle w:val="Normal"/>
        <w:numPr>
          <w:ilvl w:val="0"/>
          <w:numId w:val="3"/>
        </w:numPr>
        <w:jc w:val="both"/>
        <w:rPr/>
      </w:pPr>
      <w:bookmarkStart w:id="17" w:name="CNIPA1"/>
      <w:bookmarkEnd w:id="17"/>
      <w:r>
        <w:rPr/>
        <w:t>Specifica della Prescrizione – Specifica in formato HL7 – CDA Rel. 2</w:t>
      </w:r>
    </w:p>
    <w:p>
      <w:pPr>
        <w:pStyle w:val="Normal"/>
        <w:numPr>
          <w:ilvl w:val="0"/>
          <w:numId w:val="3"/>
        </w:numPr>
        <w:jc w:val="both"/>
        <w:rPr>
          <w:iCs/>
        </w:rPr>
      </w:pPr>
      <w:bookmarkStart w:id="18" w:name="CNIPA2"/>
      <w:bookmarkEnd w:id="18"/>
      <w:r>
        <w:rPr>
          <w:iCs/>
        </w:rPr>
        <w:t>Specifiche tecniche CDA Certificato INPS V_1.03.doc e Specifiche tecniche CDA Certificato INAIL V_1.05.doc</w:t>
      </w:r>
    </w:p>
    <w:p>
      <w:pPr>
        <w:pStyle w:val="Normal"/>
        <w:numPr>
          <w:ilvl w:val="0"/>
          <w:numId w:val="3"/>
        </w:numPr>
        <w:jc w:val="both"/>
        <w:rPr>
          <w:lang w:val="en-GB"/>
        </w:rPr>
      </w:pPr>
      <w:r>
        <w:rPr>
          <w:lang w:val="en-GB"/>
        </w:rPr>
        <w:t>WSIT Tutorial – PartNo: 820–1072–10 October 2007</w:t>
      </w:r>
    </w:p>
    <w:p>
      <w:pPr>
        <w:pStyle w:val="Normal"/>
        <w:numPr>
          <w:ilvl w:val="0"/>
          <w:numId w:val="3"/>
        </w:numPr>
        <w:jc w:val="both"/>
        <w:rPr/>
      </w:pPr>
      <w:bookmarkStart w:id="19" w:name="CNIPA3"/>
      <w:bookmarkEnd w:id="19"/>
      <w:r>
        <w:rPr/>
        <w:t>Infrastrutture domini e porte di dominio e modalità integrazione client operatori – Verbale di Riunione – Tecnopolis CSATA s.c.r.l.- 29/03/2007</w:t>
      </w:r>
      <w:bookmarkStart w:id="20" w:name="W3C1"/>
      <w:bookmarkStart w:id="21" w:name="W3C2"/>
      <w:bookmarkEnd w:id="20"/>
      <w:bookmarkEnd w:id="21"/>
    </w:p>
    <w:p>
      <w:pPr>
        <w:pStyle w:val="Normal"/>
        <w:numPr>
          <w:ilvl w:val="0"/>
          <w:numId w:val="3"/>
        </w:numPr>
        <w:jc w:val="both"/>
        <w:rPr>
          <w:iCs/>
          <w:lang w:val="en-US"/>
        </w:rPr>
      </w:pPr>
      <w:r>
        <w:rPr>
          <w:lang w:val="en-US"/>
        </w:rPr>
        <w:t>WS-specification X.509 Token Profile 1.1</w:t>
      </w:r>
    </w:p>
    <w:p>
      <w:pPr>
        <w:pStyle w:val="Normal"/>
        <w:numPr>
          <w:ilvl w:val="0"/>
          <w:numId w:val="3"/>
        </w:numPr>
        <w:rPr>
          <w:iCs/>
        </w:rPr>
      </w:pPr>
      <w:r>
        <w:rPr>
          <w:iCs/>
        </w:rPr>
        <w:t>Medici in rete:</w:t>
      </w:r>
    </w:p>
    <w:p>
      <w:pPr>
        <w:pStyle w:val="Normal"/>
        <w:numPr>
          <w:ilvl w:val="2"/>
          <w:numId w:val="3"/>
        </w:numPr>
        <w:rPr>
          <w:iCs/>
        </w:rPr>
      </w:pPr>
      <w:r>
        <w:rPr>
          <w:iCs/>
        </w:rPr>
        <w:t>DPCM 26.03.2008 – Manuale di progetto e specifiche tecniche</w:t>
      </w:r>
    </w:p>
    <w:p>
      <w:pPr>
        <w:pStyle w:val="Normal"/>
        <w:numPr>
          <w:ilvl w:val="2"/>
          <w:numId w:val="3"/>
        </w:numPr>
        <w:rPr>
          <w:iCs/>
        </w:rPr>
      </w:pPr>
      <w:r>
        <w:rPr>
          <w:iCs/>
        </w:rPr>
        <w:t xml:space="preserve">DPCM 26.03.2008 – Documento contenente il WSDL e gli schemi XSD </w:t>
      </w:r>
    </w:p>
    <w:p>
      <w:pPr>
        <w:pStyle w:val="Normal"/>
        <w:numPr>
          <w:ilvl w:val="2"/>
          <w:numId w:val="3"/>
        </w:numPr>
        <w:rPr>
          <w:iCs/>
        </w:rPr>
      </w:pPr>
      <w:r>
        <w:rPr>
          <w:iCs/>
        </w:rPr>
        <w:t>DPCM 26.03.2008 – Testo della nota</w:t>
      </w:r>
    </w:p>
    <w:p>
      <w:pPr>
        <w:pStyle w:val="Normal"/>
        <w:numPr>
          <w:ilvl w:val="2"/>
          <w:numId w:val="3"/>
        </w:numPr>
        <w:rPr>
          <w:iCs/>
        </w:rPr>
      </w:pPr>
      <w:r>
        <w:rPr>
          <w:iCs/>
        </w:rPr>
        <w:t xml:space="preserve">DPCM 26.03.2008 – Manuale esplicativo codici di anomalia  </w:t>
      </w:r>
    </w:p>
    <w:p>
      <w:pPr>
        <w:pStyle w:val="Normal"/>
        <w:numPr>
          <w:ilvl w:val="0"/>
          <w:numId w:val="3"/>
        </w:numPr>
        <w:rPr>
          <w:iCs/>
        </w:rPr>
      </w:pPr>
      <w:r>
        <w:rP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pPr>
        <w:pStyle w:val="Normal"/>
        <w:numPr>
          <w:ilvl w:val="2"/>
          <w:numId w:val="3"/>
        </w:numPr>
        <w:rPr>
          <w:iCs/>
        </w:rPr>
      </w:pPr>
      <w:r>
        <w:rPr>
          <w:iCs/>
        </w:rPr>
        <w:t>De-materializzazione della ricetta medica cartacea</w:t>
      </w:r>
    </w:p>
    <w:p>
      <w:pPr>
        <w:pStyle w:val="Normal"/>
        <w:numPr>
          <w:ilvl w:val="2"/>
          <w:numId w:val="3"/>
        </w:numPr>
        <w:rPr>
          <w:iCs/>
        </w:rPr>
      </w:pPr>
      <w:r>
        <w:rPr>
          <w:iCs/>
        </w:rPr>
        <w:t>Gestione del Numero di Ricetta Elettronica (NRE)</w:t>
      </w:r>
    </w:p>
    <w:p>
      <w:pPr>
        <w:pStyle w:val="Normal"/>
        <w:numPr>
          <w:ilvl w:val="2"/>
          <w:numId w:val="3"/>
        </w:numPr>
        <w:rPr>
          <w:iCs/>
        </w:rPr>
      </w:pPr>
      <w:r>
        <w:rPr>
          <w:iCs/>
        </w:rPr>
        <w:t>Documentazione per l’utilizzo dei servizi web previsti per la ricetta dematerializzata – SEZIONE PER IL PRESCRITTORE</w:t>
      </w:r>
    </w:p>
    <w:p>
      <w:pPr>
        <w:pStyle w:val="Normal"/>
        <w:numPr>
          <w:ilvl w:val="2"/>
          <w:numId w:val="3"/>
        </w:numPr>
        <w:rPr>
          <w:iCs/>
        </w:rPr>
      </w:pPr>
      <w:r>
        <w:rPr>
          <w:iCs/>
        </w:rPr>
        <w:t>Documentazione per l’utilizzo dei servizi web previsti per la ricetta dematerializzata – SEZIONE PER L’EROGATORE</w:t>
      </w:r>
    </w:p>
    <w:p>
      <w:pPr>
        <w:pStyle w:val="Normal"/>
        <w:numPr>
          <w:ilvl w:val="0"/>
          <w:numId w:val="3"/>
        </w:numPr>
        <w:rPr>
          <w:iCs/>
        </w:rPr>
      </w:pPr>
      <w:r>
        <w:rPr/>
        <w:t>DM 26 febbraio 2010 – Certificazioni di malattia –http://sistemats1.sanita.finanze.it/wps/portal/portalets/sistematsinforma/certificazioni_di_malattia</w:t>
      </w:r>
    </w:p>
    <w:p>
      <w:pPr>
        <w:pStyle w:val="Normal"/>
        <w:numPr>
          <w:ilvl w:val="0"/>
          <w:numId w:val="3"/>
        </w:numPr>
        <w:rPr>
          <w:iCs/>
        </w:rPr>
      </w:pPr>
      <w:r>
        <w:rPr>
          <w:iCs/>
        </w:rPr>
        <w:t>LEGGE 17 dicembre 2012, n. 221.Conversione in legge, con modificazioni, del decreto-legge 18 ottobre 2012, n. 179, art.12</w:t>
      </w:r>
    </w:p>
    <w:p>
      <w:pPr>
        <w:pStyle w:val="Normal"/>
        <w:numPr>
          <w:ilvl w:val="0"/>
          <w:numId w:val="3"/>
        </w:numPr>
        <w:rPr>
          <w:iCs/>
        </w:rPr>
      </w:pPr>
      <w:r>
        <w:rPr>
          <w:iCs/>
        </w:rPr>
        <w:t>14.</w:t>
        <w:tab/>
        <w:t>LEGGE 9 agosto 2013, n. 98. Conversione in legge, con modificazioni, del decreto-legge 21 giugno 2013, n. 69</w:t>
      </w:r>
    </w:p>
    <w:p>
      <w:pPr>
        <w:pStyle w:val="Normal"/>
        <w:numPr>
          <w:ilvl w:val="0"/>
          <w:numId w:val="3"/>
        </w:numPr>
        <w:rPr>
          <w:iCs/>
        </w:rPr>
      </w:pPr>
      <w:r>
        <w:rPr>
          <w:iCs/>
        </w:rPr>
        <w:t>Regolamento in materia di fascicolo sanitario elettronico: DPCM Attuativo del 29/09/2015, n.178</w:t>
      </w:r>
    </w:p>
    <w:p>
      <w:pPr>
        <w:pStyle w:val="Normal"/>
        <w:numPr>
          <w:ilvl w:val="0"/>
          <w:numId w:val="3"/>
        </w:numPr>
        <w:rPr>
          <w:iCs/>
        </w:rPr>
      </w:pPr>
      <w:r>
        <w:rPr>
          <w:iCs/>
        </w:rPr>
        <w:t>Ministero della Salute – Agenzia per l’Italia Digitale Linee guida per la presentazione dei piani di progetto regionali per il FSE – Allegato 1 Schema di DPCM attuativo</w:t>
      </w:r>
    </w:p>
    <w:p>
      <w:pPr>
        <w:pStyle w:val="Normal"/>
        <w:numPr>
          <w:ilvl w:val="0"/>
          <w:numId w:val="3"/>
        </w:numPr>
        <w:rPr>
          <w:iCs/>
        </w:rPr>
      </w:pPr>
      <w:r>
        <w:rPr/>
        <w:t>Specifica del documento di referto – Specifica in formato HL7 – CDA Rel. 2</w:t>
      </w:r>
    </w:p>
    <w:p>
      <w:pPr>
        <w:pStyle w:val="Normal"/>
        <w:numPr>
          <w:ilvl w:val="0"/>
          <w:numId w:val="3"/>
        </w:numPr>
        <w:rPr>
          <w:iCs/>
        </w:rPr>
      </w:pPr>
      <w:r>
        <w:rPr/>
        <w:t>Specifica del documento di Scheda di Dimissione Ospedaliera – Specifica in formato HL7 – CDA Rel. 2</w:t>
      </w:r>
    </w:p>
    <w:p>
      <w:pPr>
        <w:pStyle w:val="Normal"/>
        <w:numPr>
          <w:ilvl w:val="0"/>
          <w:numId w:val="3"/>
        </w:numPr>
        <w:jc w:val="both"/>
        <w:rPr/>
      </w:pPr>
      <w:r>
        <w:rPr/>
        <w:t>Specifiche tecniche PSS - Specifica in formato HL7 – CDA Rel. 2</w:t>
      </w:r>
    </w:p>
    <w:p>
      <w:pPr>
        <w:pStyle w:val="Normal"/>
        <w:numPr>
          <w:ilvl w:val="0"/>
          <w:numId w:val="3"/>
        </w:numPr>
        <w:jc w:val="both"/>
        <w:rPr>
          <w:iCs/>
        </w:rPr>
      </w:pPr>
      <w:r>
        <w:rPr>
          <w:iCs/>
        </w:rPr>
        <w:t>Specifiche tecniche - CDA2_Prescrizione_NSSN</w:t>
      </w:r>
    </w:p>
    <w:p>
      <w:pPr>
        <w:pStyle w:val="Normal"/>
        <w:numPr>
          <w:ilvl w:val="0"/>
          <w:numId w:val="3"/>
        </w:numPr>
        <w:jc w:val="both"/>
        <w:rPr>
          <w:iCs/>
        </w:rPr>
      </w:pPr>
      <w:r>
        <w:rPr>
          <w:iCs/>
        </w:rPr>
        <w:t xml:space="preserve"> </w:t>
      </w:r>
      <w:r>
        <w:rPr>
          <w:iCs/>
        </w:rPr>
        <w:t>Specifiche tecniche - CDA2_Erogazione_NSSN</w:t>
      </w:r>
    </w:p>
    <w:p>
      <w:pPr>
        <w:pStyle w:val="Normal"/>
        <w:ind w:left="0"/>
        <w:jc w:val="both"/>
        <w:rPr>
          <w:iCs/>
        </w:rPr>
      </w:pPr>
      <w:r>
        <w:rPr>
          <w:iCs/>
        </w:rPr>
      </w:r>
    </w:p>
    <w:p>
      <w:pPr>
        <w:pStyle w:val="Heading1"/>
        <w:ind w:left="851" w:right="1359"/>
        <w:rPr/>
      </w:pPr>
      <w:bookmarkStart w:id="25" w:name="_Toc421005866"/>
      <w:bookmarkStart w:id="26" w:name="_Toc142106573"/>
      <w:bookmarkStart w:id="27" w:name="_Toc173420493"/>
      <w:bookmarkStart w:id="28" w:name="_Toc438993489"/>
      <w:bookmarkStart w:id="29" w:name="OLE_LINK4"/>
      <w:bookmarkEnd w:id="29"/>
      <w:r>
        <w:rPr/>
        <w:t>Termini e definizioni</w:t>
      </w:r>
      <w:bookmarkEnd w:id="25"/>
      <w:bookmarkEnd w:id="26"/>
      <w:bookmarkEnd w:id="27"/>
      <w:bookmarkEnd w:id="28"/>
    </w:p>
    <w:p>
      <w:pPr>
        <w:pStyle w:val="Normal"/>
        <w:rPr/>
      </w:pPr>
      <w:r>
        <w:rPr/>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fill="FFFFFF" w:val="clear"/>
        </w:rPr>
        <w:t> </w:t>
      </w:r>
      <w:r>
        <w:rPr>
          <w:rFonts w:ascii="Times New Roman" w:hAnsi="Times New Roman"/>
          <w:sz w:val="20"/>
          <w:szCs w:val="20"/>
        </w:rPr>
        <w:t>(WSIT) è una tecnologia </w:t>
      </w:r>
      <w:hyperlink r:id="rId4" w:tgtFrame="Open-source">
        <w:r>
          <w:rPr>
            <w:rStyle w:val="Style"/>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5" w:tgtFrame="Framework">
        <w:r>
          <w:rPr>
            <w:rStyle w:val="Style"/>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6" w:tgtFrame="Rete di computer">
        <w:r>
          <w:rPr>
            <w:rStyle w:val="Style"/>
            <w:rFonts w:ascii="Times New Roman" w:hAnsi="Times New Roman"/>
            <w:sz w:val="20"/>
            <w:szCs w:val="20"/>
          </w:rPr>
          <w:t>reti di computer</w:t>
        </w:r>
      </w:hyperlink>
      <w:r>
        <w:rPr>
          <w:rFonts w:ascii="Times New Roman" w:hAnsi="Times New Roman"/>
          <w:sz w:val="20"/>
          <w:szCs w:val="20"/>
        </w:rPr>
        <w:t xml:space="preserve"> fornendo tramite messaggi </w:t>
      </w:r>
      <w:hyperlink r:id="rId7" w:tgtFrame="Richiamo di procedura remota">
        <w:r>
          <w:rPr>
            <w:rStyle w:val="Style"/>
            <w:rFonts w:ascii="Times New Roman" w:hAnsi="Times New Roman"/>
            <w:sz w:val="20"/>
            <w:szCs w:val="20"/>
          </w:rPr>
          <w:t>richieste di procedure remote</w:t>
        </w:r>
      </w:hyperlink>
      <w:r>
        <w:rPr>
          <w:rFonts w:ascii="Times New Roman" w:hAnsi="Times New Roman"/>
          <w:sz w:val="20"/>
          <w:szCs w:val="20"/>
        </w:rPr>
        <w:t xml:space="preserve">.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pPr>
        <w:pStyle w:val="ListParagraph"/>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nasce per </w:t>
      </w:r>
      <w:r>
        <w:rPr>
          <w:rFonts w:eastAsia="Times New Roman" w:ascii="Times New Roman" w:hAnsi="Times New Roman"/>
          <w:b/>
          <w:bCs/>
          <w:sz w:val="20"/>
          <w:szCs w:val="20"/>
          <w:lang w:eastAsia="it-IT"/>
        </w:rPr>
        <w:t>scambiare</w:t>
      </w:r>
      <w:r>
        <w:rPr>
          <w:rFonts w:eastAsia="Times New Roman" w:ascii="Times New Roman" w:hAnsi="Times New Roman"/>
          <w:sz w:val="20"/>
          <w:szCs w:val="20"/>
          <w:lang w:eastAsia="it-IT"/>
        </w:rPr>
        <w:t> informazioni relative ad un paziente,</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b/>
          <w:bCs/>
          <w:sz w:val="20"/>
          <w:szCs w:val="20"/>
          <w:lang w:eastAsia="it-IT"/>
        </w:rPr>
        <w:t>standardizza</w:t>
      </w:r>
      <w:r>
        <w:rPr>
          <w:rFonts w:eastAsia="Times New Roman" w:ascii="Times New Roman" w:hAnsi="Times New Roman"/>
          <w:sz w:val="20"/>
          <w:szCs w:val="20"/>
          <w:lang w:eastAsia="it-IT"/>
        </w:rPr>
        <w:t> l’intero complesso di un sistema sanitario a livello di scambio di dati clinici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fornisce </w:t>
      </w:r>
      <w:r>
        <w:rPr>
          <w:rFonts w:eastAsia="Times New Roman" w:ascii="Times New Roman" w:hAnsi="Times New Roman"/>
          <w:b/>
          <w:bCs/>
          <w:sz w:val="20"/>
          <w:szCs w:val="20"/>
          <w:lang w:eastAsia="it-IT"/>
        </w:rPr>
        <w:t>interfacce </w:t>
      </w:r>
      <w:r>
        <w:rPr>
          <w:rFonts w:eastAsia="Times New Roman" w:ascii="Times New Roman" w:hAnsi="Times New Roman"/>
          <w:sz w:val="20"/>
          <w:szCs w:val="20"/>
          <w:lang w:eastAsia="it-IT"/>
        </w:rPr>
        <w:t>che permettono il flusso di dati fra sistemi diversi.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rende quindi le varie “entità” del mondo sanitario </w:t>
      </w:r>
      <w:r>
        <w:rPr>
          <w:rFonts w:eastAsia="Times New Roman" w:ascii="Times New Roman" w:hAnsi="Times New Roman"/>
          <w:b/>
          <w:bCs/>
          <w:sz w:val="20"/>
          <w:szCs w:val="20"/>
          <w:lang w:eastAsia="it-IT"/>
        </w:rPr>
        <w:t>interoperabili</w:t>
      </w:r>
      <w:r>
        <w:rPr>
          <w:rFonts w:eastAsia="Times New Roman" w:ascii="Times New Roman" w:hAnsi="Times New Roman"/>
          <w:sz w:val="20"/>
          <w:szCs w:val="20"/>
          <w:lang w:eastAsia="it-IT"/>
        </w:rPr>
        <w:t>,</w:t>
      </w:r>
    </w:p>
    <w:p>
      <w:pPr>
        <w:pStyle w:val="Normal"/>
        <w:rPr/>
      </w:pPr>
      <w:r>
        <w:rPr/>
      </w:r>
    </w:p>
    <w:p>
      <w:pPr>
        <w:pStyle w:val="Heading1"/>
        <w:ind w:left="851" w:right="1359"/>
        <w:rPr/>
      </w:pPr>
      <w:bookmarkStart w:id="30" w:name="_Toc173420494"/>
      <w:bookmarkStart w:id="31" w:name="_Toc438993490"/>
      <w:r>
        <w:rPr/>
        <w:t>Premessa</w:t>
      </w:r>
      <w:bookmarkEnd w:id="30"/>
      <w:bookmarkEnd w:id="31"/>
    </w:p>
    <w:p>
      <w:pPr>
        <w:pStyle w:val="Normal"/>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pPr>
        <w:pStyle w:val="Normal"/>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pPr>
        <w:pStyle w:val="Normal"/>
        <w:ind w:left="0"/>
        <w:rPr/>
      </w:pPr>
      <w:r>
        <w:rPr/>
      </w:r>
    </w:p>
    <w:p>
      <w:pPr>
        <w:pStyle w:val="Heading1"/>
        <w:ind w:left="851" w:right="1359"/>
        <w:rPr/>
      </w:pPr>
      <w:bookmarkStart w:id="32" w:name="_Toc438993491"/>
      <w:bookmarkStart w:id="33" w:name="_Toc173420495"/>
      <w:bookmarkStart w:id="34" w:name="_Toc213052888"/>
      <w:bookmarkEnd w:id="34"/>
      <w:r>
        <w:rPr/>
        <w:t>Generalità sull’integrazione dei servizi</w:t>
      </w:r>
      <w:bookmarkEnd w:id="32"/>
      <w:bookmarkEnd w:id="33"/>
    </w:p>
    <w:p>
      <w:pPr>
        <w:pStyle w:val="Normal"/>
        <w:jc w:val="both"/>
        <w:rPr/>
      </w:pPr>
      <w:r>
        <w:rPr/>
        <w:t>In generale tutti i servizi del SIST che possono essere necessari ad applicativi di terze parti che si devono integrare al progetto regionale, sono erogati sotto forma di web services SOAP 1.1.</w:t>
      </w:r>
    </w:p>
    <w:p>
      <w:pPr>
        <w:pStyle w:val="Normal"/>
        <w:jc w:val="both"/>
        <w:rPr/>
      </w:pPr>
      <w:r>
        <w:rPr/>
        <w:t>Inoltre, la sottomissione di un messaggio di richiesta prevede che il richiedente (</w:t>
      </w:r>
      <w:r>
        <w:rPr>
          <w:i/>
          <w:iCs/>
        </w:rPr>
        <w:t>client</w:t>
      </w:r>
      <w:r>
        <w:rPr/>
        <w:t>) resti in attesa del messaggio di risposta secondo quanto previsto dal suddetto protocollo (servizi sincroni).</w:t>
      </w:r>
    </w:p>
    <w:p>
      <w:pPr>
        <w:pStyle w:val="Normal"/>
        <w:jc w:val="both"/>
        <w:rPr/>
      </w:pPr>
      <w:r>
        <w:rPr/>
        <w:t>Viene pertanto riportato nel seguito l’elenco dei servizi esposti e per ciascuno di essi la URL per il bootstrapping utile allo sviluppo della componente di integrazione dei client.</w:t>
      </w:r>
    </w:p>
    <w:p>
      <w:pPr>
        <w:pStyle w:val="Normal"/>
        <w:jc w:val="both"/>
        <w:rPr/>
      </w:pPr>
      <w:r>
        <w:rPr/>
        <w:t>Sono inoltre elencati tutti i web services e forniti e, per ciascuno di essi, gli entry point dei relativi WSDL e la documentazione di specifica nel formato Javadoc che ne costituisce parte integrante.</w:t>
      </w:r>
    </w:p>
    <w:p>
      <w:pPr>
        <w:pStyle w:val="Normal"/>
        <w:jc w:val="both"/>
        <w:rPr>
          <w:u w:val="single"/>
        </w:rPr>
      </w:pPr>
      <w:r>
        <w:rPr/>
        <w:t>Inoltre, costituiscono parte integrante del presente documento anche le specifiche dei documenti CDA ai quali si deve fare riferimento per la corretta costruzione delle relative istanze che vengono trattate dai web services esposti.</w:t>
      </w:r>
    </w:p>
    <w:p>
      <w:pPr>
        <w:pStyle w:val="Heading2"/>
        <w:rPr/>
      </w:pPr>
      <w:bookmarkStart w:id="35" w:name="_Toc173420496"/>
      <w:bookmarkStart w:id="36" w:name="_Toc438993492"/>
      <w:r>
        <w:rPr/>
        <w:t>Servizi esposti sulla PDD ASL</w:t>
      </w:r>
      <w:bookmarkEnd w:id="35"/>
      <w:bookmarkEnd w:id="36"/>
    </w:p>
    <w:p>
      <w:pPr>
        <w:pStyle w:val="Normal"/>
        <w:jc w:val="both"/>
        <w:rPr/>
      </w:pPr>
      <w:r>
        <w:rP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pPr>
        <w:pStyle w:val="Normal"/>
        <w:jc w:val="both"/>
        <w:rPr/>
      </w:pPr>
      <w:r>
        <w:rP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pPr>
        <w:pStyle w:val="Normal"/>
        <w:jc w:val="both"/>
        <w:rPr/>
      </w:pPr>
      <w:r>
        <w:rPr/>
        <w:t>Le versioni delle specifiche WS-* implementate dal Project Tango e quindi dal WSIT sono le seguenti (le stesse versioni implementate da .NET 3.0) e sono allineate a quelle citate in [Rif. 8]:</w:t>
      </w:r>
    </w:p>
    <w:p>
      <w:pPr>
        <w:pStyle w:val="Normal"/>
        <w:jc w:val="both"/>
        <w:rPr>
          <w:lang w:val="en-GB"/>
        </w:rPr>
      </w:pPr>
      <w:r>
        <w:rPr>
          <w:lang w:val="en-GB"/>
        </w:rPr>
        <w:t>- OASIS WS-Security 1.0 and 1.1</w:t>
      </w:r>
    </w:p>
    <w:p>
      <w:pPr>
        <w:pStyle w:val="Normal"/>
        <w:jc w:val="both"/>
        <w:rPr>
          <w:lang w:val="en-GB"/>
        </w:rPr>
      </w:pPr>
      <w:r>
        <w:rPr>
          <w:lang w:val="en-GB"/>
        </w:rPr>
        <w:t>- WS-Trust (Feb 2005)</w:t>
      </w:r>
    </w:p>
    <w:p>
      <w:pPr>
        <w:pStyle w:val="Normal"/>
        <w:jc w:val="both"/>
        <w:rPr>
          <w:lang w:val="en-GB"/>
        </w:rPr>
      </w:pPr>
      <w:r>
        <w:rPr>
          <w:lang w:val="en-GB"/>
        </w:rPr>
        <w:t>- WS-Secure Conversation (Feb 2005)</w:t>
      </w:r>
    </w:p>
    <w:p>
      <w:pPr>
        <w:pStyle w:val="Normal"/>
        <w:jc w:val="both"/>
        <w:rPr>
          <w:lang w:val="en-GB"/>
        </w:rPr>
      </w:pPr>
      <w:r>
        <w:rPr>
          <w:lang w:val="en-GB"/>
        </w:rPr>
        <w:t>- WS-Security Policy (Jul 2005)</w:t>
      </w:r>
    </w:p>
    <w:p>
      <w:pPr>
        <w:pStyle w:val="Normal"/>
        <w:jc w:val="both"/>
        <w:rPr>
          <w:lang w:val="en-GB"/>
        </w:rPr>
      </w:pPr>
      <w:r>
        <w:rPr>
          <w:lang w:val="en-GB"/>
        </w:rPr>
        <w:t>- WS-Reliable Messaging (Feb 2005)</w:t>
      </w:r>
    </w:p>
    <w:p>
      <w:pPr>
        <w:pStyle w:val="Normal"/>
        <w:jc w:val="both"/>
        <w:rPr>
          <w:lang w:val="en-GB"/>
        </w:rPr>
      </w:pPr>
      <w:r>
        <w:rPr>
          <w:lang w:val="en-GB"/>
        </w:rPr>
        <w:t>- WS-Reliable Messaging Policy (Feb 2005)</w:t>
      </w:r>
    </w:p>
    <w:p>
      <w:pPr>
        <w:pStyle w:val="Normal"/>
        <w:jc w:val="both"/>
        <w:rPr>
          <w:lang w:val="en-GB"/>
        </w:rPr>
      </w:pPr>
      <w:r>
        <w:rPr>
          <w:lang w:val="en-GB"/>
        </w:rPr>
        <w:t>- WS-Coordination (Aug 2005)</w:t>
      </w:r>
    </w:p>
    <w:p>
      <w:pPr>
        <w:pStyle w:val="Normal"/>
        <w:jc w:val="both"/>
        <w:rPr>
          <w:lang w:val="en-GB"/>
        </w:rPr>
      </w:pPr>
      <w:r>
        <w:rPr>
          <w:lang w:val="en-GB"/>
        </w:rPr>
        <w:t>- WS-Atomic Transactions (Oct 2004)</w:t>
      </w:r>
    </w:p>
    <w:p>
      <w:pPr>
        <w:pStyle w:val="Normal"/>
        <w:jc w:val="both"/>
        <w:rPr>
          <w:lang w:val="en-GB"/>
        </w:rPr>
      </w:pPr>
      <w:r>
        <w:rPr>
          <w:lang w:val="en-GB"/>
        </w:rPr>
        <w:t>- WS-Metadata Exchange (Oct 2004)</w:t>
      </w:r>
    </w:p>
    <w:p>
      <w:pPr>
        <w:pStyle w:val="Normal"/>
        <w:jc w:val="both"/>
        <w:rPr>
          <w:lang w:val="en-GB"/>
        </w:rPr>
      </w:pPr>
      <w:r>
        <w:rPr>
          <w:lang w:val="en-GB"/>
        </w:rPr>
        <w:t>- WS-Policy (W3C Member Submission)</w:t>
      </w:r>
    </w:p>
    <w:p>
      <w:pPr>
        <w:pStyle w:val="Normal"/>
        <w:jc w:val="both"/>
        <w:rPr>
          <w:lang w:val="en-GB"/>
        </w:rPr>
      </w:pPr>
      <w:r>
        <w:rPr>
          <w:lang w:val="en-GB"/>
        </w:rPr>
        <w:t>- WS-Policy Attachment (W3C Member Submission)</w:t>
      </w:r>
    </w:p>
    <w:p>
      <w:pPr>
        <w:pStyle w:val="Heading3"/>
        <w:rPr/>
      </w:pPr>
      <w:bookmarkStart w:id="37" w:name="_Toc173420497"/>
      <w:bookmarkStart w:id="38" w:name="_Toc438993493"/>
      <w:r>
        <w:rPr/>
        <w:t>WS-Security sulla PDD-ASL</w:t>
      </w:r>
      <w:bookmarkEnd w:id="37"/>
      <w:bookmarkEnd w:id="38"/>
    </w:p>
    <w:p>
      <w:pPr>
        <w:pStyle w:val="Normal"/>
        <w:jc w:val="both"/>
        <w:rPr/>
      </w:pPr>
      <w:r>
        <w:rPr/>
        <w:t>Le politiche di sicurezza adottate da tutti i servizi della PDDASL richiedono l’utilizzo delle specifiche di Web Services Security.</w:t>
      </w:r>
    </w:p>
    <w:p>
      <w:pPr>
        <w:pStyle w:val="Normal"/>
        <w:jc w:val="both"/>
        <w:rPr/>
      </w:pPr>
      <w:r>
        <w:rPr/>
        <w:t>Per Web Services Security si intende un insieme di estensioni standard di SOAP che possono essere usate per implementare scambio messaggi garantendo integrità e confidenzialità.</w:t>
      </w:r>
    </w:p>
    <w:p>
      <w:pPr>
        <w:pStyle w:val="Normal"/>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jc w:val="both"/>
        <w:rPr/>
      </w:pPr>
      <w:r>
        <w:rPr/>
        <w:t>Nell’header del messaggio SOAP scambiato con PDDASL occorre specificare un elemento Security in cui inserire i seguenti elementi:</w:t>
      </w:r>
    </w:p>
    <w:p>
      <w:pPr>
        <w:pStyle w:val="Normal"/>
        <w:keepLines w:val="false"/>
        <w:numPr>
          <w:ilvl w:val="0"/>
          <w:numId w:val="12"/>
        </w:numPr>
        <w:spacing w:lineRule="auto" w:line="240" w:beforeAutospacing="1" w:after="0"/>
        <w:rPr/>
      </w:pPr>
      <w:r>
        <w:rPr>
          <w:b/>
        </w:rPr>
        <w:t>BinarySecurityToken–</w:t>
      </w:r>
      <w:r>
        <w:rPr/>
        <w:t xml:space="preserve">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br/>
      </w:r>
    </w:p>
    <w:p>
      <w:pPr>
        <w:pStyle w:val="Normal"/>
        <w:keepLines w:val="false"/>
        <w:numPr>
          <w:ilvl w:val="0"/>
          <w:numId w:val="12"/>
        </w:numPr>
        <w:spacing w:lineRule="auto" w:line="240" w:before="0" w:after="0"/>
        <w:rPr/>
      </w:pPr>
      <w:r>
        <w:rPr>
          <w:b/>
        </w:rPr>
        <w:t>Timestamp–</w:t>
      </w:r>
      <w:r>
        <w:rPr/>
        <w:t xml:space="preserve"> elemento contenete data/ora di creazione messaggio (Created) e fine validità (Expires) in formato YYYY-MM-DDThh:mm:ssZ.</w:t>
        <w:br/>
        <w:t>Coerentemente con la policy, nella firma del messaggio SOAP di request è obbligatoria la firma del tag Timestamp, presente nell’header del messaggio SOAP.</w:t>
        <w:br/>
        <w:t xml:space="preserve">Tuttavia la policy non esclude che siano firmate anche ulteriori parti del messaggio oltre al Timestamp e dunque il server accetta e verifica anche le request in cui è apposta la firma ad altri tag oltre che al Timestamp. </w:t>
        <w:br/>
      </w:r>
    </w:p>
    <w:p>
      <w:pPr>
        <w:pStyle w:val="Normal"/>
        <w:keepLines w:val="false"/>
        <w:numPr>
          <w:ilvl w:val="0"/>
          <w:numId w:val="12"/>
        </w:numPr>
        <w:spacing w:lineRule="auto" w:line="240" w:before="0" w:after="0"/>
        <w:rPr/>
      </w:pPr>
      <w:r>
        <w:rPr>
          <w:b/>
        </w:rPr>
        <w:t>Signature–</w:t>
      </w:r>
      <w:r>
        <w:rPr/>
        <w:t xml:space="preserve"> elemento contenente dati e metadati sulla firma del messaggio:</w:t>
      </w:r>
    </w:p>
    <w:p>
      <w:pPr>
        <w:pStyle w:val="Normal"/>
        <w:keepLines w:val="false"/>
        <w:numPr>
          <w:ilvl w:val="1"/>
          <w:numId w:val="12"/>
        </w:numPr>
        <w:spacing w:lineRule="auto" w:line="240" w:before="0" w:after="0"/>
        <w:rPr/>
      </w:pPr>
      <w:r>
        <w:rPr>
          <w:b/>
        </w:rPr>
        <w:t>CanonicalizationMethod–</w:t>
      </w:r>
      <w:r>
        <w:rPr/>
        <w:t xml:space="preserve"> algoritmo usato per rimuovere eventuali spazi e formattazioni nel messaggio SOAP prima di applicare l’algoritmo di digest. </w:t>
      </w:r>
    </w:p>
    <w:p>
      <w:pPr>
        <w:pStyle w:val="Normal"/>
        <w:keepLines w:val="false"/>
        <w:numPr>
          <w:ilvl w:val="1"/>
          <w:numId w:val="12"/>
        </w:numPr>
        <w:spacing w:lineRule="auto" w:line="240" w:before="0" w:after="0"/>
        <w:rPr>
          <w:b/>
        </w:rPr>
      </w:pPr>
      <w:r>
        <w:rPr>
          <w:b/>
        </w:rPr>
        <w:t>SignatureMethod–</w:t>
      </w:r>
      <w:r>
        <w:rPr/>
        <w:t>algoritmo usato per firmare il digest.</w:t>
      </w:r>
    </w:p>
    <w:p>
      <w:pPr>
        <w:pStyle w:val="Normal"/>
        <w:keepLines w:val="false"/>
        <w:numPr>
          <w:ilvl w:val="1"/>
          <w:numId w:val="12"/>
        </w:numPr>
        <w:spacing w:lineRule="auto" w:line="240" w:before="0" w:after="0"/>
        <w:rPr/>
      </w:pPr>
      <w:r>
        <w:rPr>
          <w:b/>
        </w:rPr>
        <w:t>Reference–</w:t>
      </w:r>
      <w:r>
        <w:rPr/>
        <w:t>riferimenti agli elementi firmati, in PDDASL si richiede almeno il timestamp.</w:t>
      </w:r>
    </w:p>
    <w:p>
      <w:pPr>
        <w:pStyle w:val="Normal"/>
        <w:keepLines w:val="false"/>
        <w:numPr>
          <w:ilvl w:val="1"/>
          <w:numId w:val="12"/>
        </w:numPr>
        <w:spacing w:lineRule="auto" w:line="240" w:before="0" w:after="0"/>
        <w:rPr/>
      </w:pPr>
      <w:r>
        <w:rPr>
          <w:b/>
          <w:bCs/>
        </w:rPr>
        <w:t>DigestMethod</w:t>
      </w:r>
      <w:r>
        <w:rPr/>
        <w:t>- metodo utilizzato per calcolare il valore digest del messaggio</w:t>
      </w:r>
    </w:p>
    <w:p>
      <w:pPr>
        <w:pStyle w:val="Normal"/>
        <w:keepLines w:val="false"/>
        <w:numPr>
          <w:ilvl w:val="1"/>
          <w:numId w:val="12"/>
        </w:numPr>
        <w:spacing w:lineRule="auto" w:line="240" w:before="0" w:after="0"/>
        <w:rPr/>
      </w:pPr>
      <w:r>
        <w:rPr>
          <w:b/>
        </w:rPr>
        <w:t>DigestValue–</w:t>
      </w:r>
      <w:r>
        <w:rPr/>
        <w:t>valore del digest calcolato applicando metodo di canonicalizzazione sugli elementi da firmare, algoritmo del digest e algoritmo di firma del digest.</w:t>
      </w:r>
    </w:p>
    <w:p>
      <w:pPr>
        <w:pStyle w:val="Normal"/>
        <w:keepLines w:val="false"/>
        <w:numPr>
          <w:ilvl w:val="1"/>
          <w:numId w:val="12"/>
        </w:numPr>
        <w:spacing w:lineRule="auto" w:line="240" w:before="0" w:after="0"/>
        <w:rPr/>
      </w:pPr>
      <w:r>
        <w:rPr>
          <w:b/>
        </w:rPr>
        <w:t>SignatureValue–</w:t>
      </w:r>
      <w:r>
        <w:rPr/>
        <w:t>Valore della firma</w:t>
      </w:r>
    </w:p>
    <w:p>
      <w:pPr>
        <w:pStyle w:val="Normal"/>
        <w:keepLines w:val="false"/>
        <w:numPr>
          <w:ilvl w:val="1"/>
          <w:numId w:val="12"/>
        </w:numPr>
        <w:spacing w:lineRule="auto" w:line="240" w:before="0" w:after="0"/>
        <w:rPr/>
      </w:pPr>
      <w:r>
        <w:rPr>
          <w:b/>
          <w:bCs/>
        </w:rPr>
        <w:t xml:space="preserve">SecurityTokenReference - </w:t>
      </w:r>
      <w:r>
        <w:rPr/>
        <w:t>riferimento al certificato pubblico da usare per verificare la firma del messaggio SOAP</w:t>
      </w:r>
    </w:p>
    <w:p>
      <w:pPr>
        <w:pStyle w:val="Normal"/>
        <w:jc w:val="both"/>
        <w:rPr/>
      </w:pPr>
      <w:r>
        <w:rPr/>
        <w:t>Il messaggio SOAP di response è generato utilizzando gli stessi meccanismi della request.</w:t>
      </w:r>
    </w:p>
    <w:p>
      <w:pPr>
        <w:pStyle w:val="Normal"/>
        <w:jc w:val="both"/>
        <w:rPr/>
      </w:pPr>
      <w:r>
        <w:rPr/>
        <w:t xml:space="preserve">Di seguito sono riportati gli </w:t>
      </w:r>
      <w:r>
        <w:rPr>
          <w:u w:val="single"/>
        </w:rPr>
        <w:t>esempi</w:t>
      </w:r>
      <w:r>
        <w:rPr/>
        <w:t xml:space="preserve"> più </w:t>
      </w:r>
      <w:r>
        <w:rPr>
          <w:u w:val="single"/>
        </w:rPr>
        <w:t>significativi</w:t>
      </w:r>
      <w:r>
        <w:rPr/>
        <w:t xml:space="preserve"> di messaggi SOAP, e per semplicità sono state evidenziate ed etichettate le seguenti informazioni all’interno dell’istanza XML:</w:t>
      </w:r>
    </w:p>
    <w:p>
      <w:pPr>
        <w:pStyle w:val="Normal"/>
        <w:keepLines w:val="false"/>
        <w:numPr>
          <w:ilvl w:val="0"/>
          <w:numId w:val="7"/>
        </w:numPr>
        <w:spacing w:lineRule="auto" w:line="240"/>
        <w:ind w:hanging="360" w:left="2340"/>
        <w:jc w:val="both"/>
        <w:rPr/>
      </w:pPr>
      <w:r>
        <w:rPr/>
        <w:t xml:space="preserve"> </w:t>
      </w:r>
      <w:r>
        <w:rPr/>
        <w:t xml:space="preserve">la chiave pubblica del certificato all’interno del </w:t>
      </w:r>
      <w:r>
        <w:rPr>
          <w:i/>
        </w:rPr>
        <w:t>BinarySecurityToken</w:t>
      </w:r>
      <w:r>
        <w:rPr/>
        <w:t>, in giallo;</w:t>
      </w:r>
    </w:p>
    <w:p>
      <w:pPr>
        <w:pStyle w:val="Normal"/>
        <w:keepLines w:val="false"/>
        <w:numPr>
          <w:ilvl w:val="0"/>
          <w:numId w:val="7"/>
        </w:numPr>
        <w:spacing w:lineRule="auto" w:line="240"/>
        <w:ind w:hanging="360" w:left="2340"/>
        <w:jc w:val="both"/>
        <w:rPr/>
      </w:pPr>
      <w:r>
        <w:rPr/>
        <w:t xml:space="preserve"> </w:t>
      </w:r>
      <w:r>
        <w:rPr/>
        <w:t xml:space="preserve">il valore di firma nel tag </w:t>
      </w:r>
      <w:r>
        <w:rPr>
          <w:i/>
        </w:rPr>
        <w:t xml:space="preserve">SignatureValue, </w:t>
      </w:r>
      <w:r>
        <w:rPr/>
        <w:t>in verde;</w:t>
      </w:r>
    </w:p>
    <w:p>
      <w:pPr>
        <w:pStyle w:val="Normal"/>
        <w:keepLines w:val="false"/>
        <w:numPr>
          <w:ilvl w:val="0"/>
          <w:numId w:val="7"/>
        </w:numPr>
        <w:spacing w:lineRule="auto" w:line="240"/>
        <w:ind w:hanging="360" w:left="2340"/>
        <w:jc w:val="both"/>
        <w:rPr/>
      </w:pPr>
      <w:r>
        <w:rPr/>
        <w:t xml:space="preserve"> </w:t>
      </w:r>
      <w:r>
        <w:rPr/>
        <w:t xml:space="preserve">l’elemento/gli elementi XML sottoposti a firma, in celeste. </w:t>
      </w:r>
    </w:p>
    <w:p>
      <w:pPr>
        <w:pStyle w:val="Normal"/>
        <w:keepLines w:val="false"/>
        <w:spacing w:lineRule="auto" w:line="240"/>
        <w:ind w:left="900"/>
        <w:jc w:val="both"/>
        <w:rPr/>
      </w:pPr>
      <w:r>
        <w:rPr/>
      </w:r>
    </w:p>
    <w:p>
      <w:pPr>
        <w:pStyle w:val="Heading3"/>
        <w:rPr>
          <w:lang w:val="it-IT"/>
        </w:rPr>
      </w:pPr>
      <w:bookmarkStart w:id="39" w:name="_Toc173420498"/>
      <w:bookmarkStart w:id="40" w:name="_Toc438993494"/>
      <w:r>
        <w:rPr>
          <w:lang w:val="it-IT"/>
        </w:rPr>
        <w:t>Esempio di SOAP request con firma di Timestamp</w:t>
      </w:r>
      <w:bookmarkEnd w:id="39"/>
      <w:bookmarkEnd w:id="40"/>
    </w:p>
    <w:p>
      <w:pPr>
        <w:pStyle w:val="Normal"/>
        <w:rPr>
          <w:sz w:val="14"/>
          <w:szCs w:val="14"/>
          <w:lang w:val="en-US"/>
        </w:rPr>
      </w:pPr>
      <w:r>
        <w:rPr>
          <w:lang w:val="en-US"/>
        </w:rPr>
        <w:t>&lt;</w:t>
      </w:r>
      <w:r>
        <w:rPr>
          <w:sz w:val="14"/>
          <w:szCs w:val="14"/>
          <w:lang w:val="en-US"/>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br/>
        <w:t>&lt;S:Header&gt;</w:t>
      </w:r>
    </w:p>
    <w:p>
      <w:pPr>
        <w:pStyle w:val="Normal"/>
        <w:rPr>
          <w:sz w:val="14"/>
          <w:szCs w:val="14"/>
          <w:lang w:val="en-US"/>
        </w:rPr>
      </w:pPr>
      <w:r>
        <w:rPr>
          <w:sz w:val="14"/>
          <w:szCs w:val="14"/>
          <w:lang w:val="en-US"/>
        </w:rPr>
        <w:t>&lt;wsse:Security S:mustUnderstand=”1”&gt;</w:t>
        <w:br/>
        <w:t>&lt;wsu:Timestamp xmlns:ns10=”http://www.w3.org/2003/05/soap-envelope” xmlns:ns11=”http://docs.oasis-open.org/ws-sx/ws-secureconversation/200512” wsu:Id=”_1”&gt;</w:t>
      </w:r>
    </w:p>
    <w:p>
      <w:pPr>
        <w:pStyle w:val="Normal"/>
        <w:rPr>
          <w:sz w:val="14"/>
          <w:szCs w:val="14"/>
          <w:lang w:val="en-US"/>
        </w:rPr>
      </w:pPr>
      <w:r>
        <w:rPr>
          <w:sz w:val="14"/>
          <w:szCs w:val="14"/>
          <w:lang w:val="en-US"/>
        </w:rPr>
        <w:t>&lt;wsu:Created&gt;2010-05-13T10:28:24Z&lt;/wsu:Created&gt;</w:t>
        <w:br/>
        <w:t>&lt;wsu:Expires&gt;2010-05-13T10:33:24Z&lt;/wsu:Expires&gt;</w:t>
        <w:br/>
        <w:t>&lt;/wsu:Timestamp&gt;</w:t>
      </w:r>
    </w:p>
    <w:p>
      <w:pPr>
        <w:pStyle w:val="Normal"/>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pPr>
        <w:pStyle w:val="Normal"/>
        <w:rPr>
          <w:sz w:val="14"/>
          <w:szCs w:val="14"/>
          <w:lang w:val="en-US"/>
        </w:rPr>
      </w:pPr>
      <w:r>
        <w:rPr>
          <w:sz w:val="14"/>
          <w:szCs w:val="14"/>
          <w:lang w:val="en-US"/>
        </w:rPr>
        <w:t>&lt;ds:Signature xmlns:ns10=”http://www.w3.org/2003/05/soap-envelope” xmlns:ns11=”http://docs.oasis-open.org/ws-sx/ws-secureconversation/200512” Id=”_2”&gt;</w:t>
        <w:br/>
        <w:t>&lt;ds:SignedInfo&gt;</w:t>
        <w:br/>
        <w:t>&lt;ds:CanonicalizationMethod Algorithm=”http://www.w3.org/2001/10/xml-exc-c14n#”&gt;</w:t>
        <w:br/>
        <w:t>&lt;exc14n:InclusiveNamespaces PrefixList=”wsse S”/&gt;</w:t>
        <w:br/>
        <w:t>&lt;/ds:CanonicalizationMethod&gt;</w:t>
        <w:br/>
        <w:t>&lt;ds:SignatureMethod Algorithm=”http://www.w3.org/2000/09/xmldsig#rsa-sha1”/&gt;</w:t>
        <w:br/>
        <w:t>&lt;ds:Reference URI=”#_1”&gt;</w:t>
      </w:r>
    </w:p>
    <w:p>
      <w:pPr>
        <w:pStyle w:val="Normal"/>
        <w:rPr>
          <w:sz w:val="14"/>
          <w:szCs w:val="14"/>
          <w:lang w:val="en-US"/>
        </w:rPr>
      </w:pPr>
      <w:r>
        <w:rPr>
          <w:sz w:val="14"/>
          <w:szCs w:val="14"/>
          <w:lang w:val="en-US"/>
        </w:rPr>
        <w:t>&lt;ds:Transforms&gt;</w:t>
        <w:br/>
        <w:t>&lt;ds:Transform Algorithm=”http://www.w3.org/2001/10/xml-exc-c14n#”&gt;</w:t>
        <w:br/>
        <w:t>&lt;exc14n:InclusiveNamespaces PrefixList=”wsu wsse S”/&gt;</w:t>
        <w:br/>
        <w:t>&lt;/ds:Transform&gt;</w:t>
      </w:r>
    </w:p>
    <w:p>
      <w:pPr>
        <w:pStyle w:val="Normal"/>
        <w:rPr>
          <w:sz w:val="14"/>
          <w:szCs w:val="14"/>
          <w:lang w:val="en-US"/>
        </w:rPr>
      </w:pPr>
      <w:r>
        <w:rPr>
          <w:sz w:val="14"/>
          <w:szCs w:val="14"/>
          <w:lang w:val="en-US"/>
        </w:rPr>
        <w:t>&lt;/ds:Transforms&gt;</w:t>
      </w:r>
    </w:p>
    <w:p>
      <w:pPr>
        <w:pStyle w:val="Normal"/>
        <w:rPr>
          <w:sz w:val="14"/>
          <w:szCs w:val="14"/>
          <w:lang w:val="en-US"/>
        </w:rPr>
      </w:pPr>
      <w:r>
        <w:rPr>
          <w:sz w:val="14"/>
          <w:szCs w:val="14"/>
          <w:lang w:val="en-US"/>
        </w:rPr>
        <w:t>&lt;ds:DigestMethod Algorithm=”http://www.w3.org/2000/09/xmldsig#sha1”/&gt;</w:t>
      </w:r>
    </w:p>
    <w:p>
      <w:pPr>
        <w:pStyle w:val="Normal"/>
        <w:rPr>
          <w:sz w:val="14"/>
          <w:szCs w:val="14"/>
          <w:lang w:val="en-US"/>
        </w:rPr>
      </w:pPr>
      <w:r>
        <w:rPr>
          <w:sz w:val="14"/>
          <w:szCs w:val="14"/>
          <w:lang w:val="en-US"/>
        </w:rPr>
        <w:t>&lt;ds:DigestValue&gt;mnC2nvaOvqe1RCLZClvLRvpT+Ik=&lt;/ds:DigestValue&gt;</w:t>
      </w:r>
    </w:p>
    <w:p>
      <w:pPr>
        <w:pStyle w:val="Normal"/>
        <w:rPr>
          <w:sz w:val="14"/>
          <w:szCs w:val="14"/>
          <w:lang w:val="en-US"/>
        </w:rPr>
      </w:pPr>
      <w:r>
        <w:rPr>
          <w:sz w:val="14"/>
          <w:szCs w:val="14"/>
          <w:lang w:val="en-US"/>
        </w:rPr>
        <w:t>&lt;/ds:Reference&gt;</w:t>
      </w:r>
    </w:p>
    <w:p>
      <w:pPr>
        <w:pStyle w:val="Normal"/>
        <w:rPr>
          <w:sz w:val="14"/>
          <w:szCs w:val="14"/>
          <w:lang w:val="en-US"/>
        </w:rPr>
      </w:pPr>
      <w:r>
        <w:rPr>
          <w:sz w:val="14"/>
          <w:szCs w:val="14"/>
          <w:lang w:val="en-US"/>
        </w:rPr>
        <w:t>&lt;/ds:SignedInfo&gt;</w:t>
      </w:r>
    </w:p>
    <w:p>
      <w:pPr>
        <w:pStyle w:val="Normal"/>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pPr>
        <w:pStyle w:val="Normal"/>
        <w:rPr>
          <w:sz w:val="14"/>
          <w:szCs w:val="14"/>
          <w:lang w:val="en-US"/>
        </w:rPr>
      </w:pPr>
      <w:r>
        <w:rPr>
          <w:sz w:val="14"/>
          <w:szCs w:val="14"/>
          <w:lang w:val="en-US"/>
        </w:rPr>
        <w:t>&lt;ds:KeyInfo&gt;</w:t>
        <w:br/>
        <w:t>&lt;wsse:SecurityTokenReference&gt;</w:t>
        <w:br/>
        <w:t>&lt;wsse:Reference ValueType=”http://docs.oasis-open.org/wss/2004/01/oasis-200401-wss-x509-token-profile-1.0#X509v3” URI=”#uuid_3c34033a-ac4f-48f9-a608-51f11c926bce”/&gt;</w:t>
        <w:br/>
        <w:t>&lt;/wsse:SecurityTokenReference&gt;</w:t>
        <w:br/>
        <w:t>&lt;/ds:KeyInfo&gt;</w:t>
        <w:br/>
        <w:t>&lt;/ds:Signature&gt;</w:t>
        <w:br/>
        <w:t>&lt;/wsse:Security&gt;</w:t>
        <w:br/>
        <w:t>&lt;/S:Header&gt;</w:t>
        <w:br/>
        <w:t>&lt;S:Body&gt;</w:t>
        <w:br/>
        <w:t>&lt;getAssistibileInAnagrafe xmlns=”www.sist.puglia.it/Schemas/PDD_SIST/SCATEL/”&gt;</w:t>
        <w:br/>
        <w:t>&lt;datiOperatore&gt;</w:t>
        <w:b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b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lang w:val="it-IT"/>
        </w:rPr>
      </w:pPr>
      <w:bookmarkStart w:id="41" w:name="_Toc173420499"/>
      <w:bookmarkStart w:id="42" w:name="_Toc438993495"/>
      <w:r>
        <w:rPr>
          <w:lang w:val="it-IT"/>
        </w:rPr>
        <w:t>Esempio di SOAP request con firma di ulteriori tag</w:t>
      </w:r>
      <w:bookmarkEnd w:id="41"/>
      <w:bookmarkEnd w:id="42"/>
    </w:p>
    <w:p>
      <w:pPr>
        <w:pStyle w:val="Normal"/>
        <w:rPr/>
      </w:pPr>
      <w:r>
        <w:rPr/>
        <w:t>Viene riportato un esempio di SOAP request con firma del tag Timestamp e del tag To.</w:t>
      </w:r>
    </w:p>
    <w:p>
      <w:pPr>
        <w:pStyle w:val="Normal"/>
        <w:rPr>
          <w:sz w:val="14"/>
          <w:szCs w:val="14"/>
          <w:lang w:val="en-US"/>
        </w:rPr>
      </w:pPr>
      <w:r>
        <w:rPr>
          <w:sz w:val="14"/>
          <w:szCs w:val="14"/>
          <w:lang w:val="en-US"/>
        </w:rPr>
        <w:t>&lt;s:Envelope xmlns:s=”http://schemas.xmlsoap.org/soap/envelope/” xmlns:a=”http://www.w3.org/2005/08/addressing” xmlns:u=”http://docs.oasis-open.org/wss/2004/01/oasis-200401-wss-wssecurity-utility-1.0.xsd”&gt;</w:t>
        <w:br/>
        <w:t>&lt;s:Header&gt;</w:t>
      </w:r>
    </w:p>
    <w:p>
      <w:pPr>
        <w:pStyle w:val="Normal"/>
        <w:rPr>
          <w:sz w:val="14"/>
          <w:szCs w:val="14"/>
          <w:lang w:val="en-US"/>
        </w:rPr>
      </w:pPr>
      <w:r>
        <w:rPr>
          <w:sz w:val="14"/>
          <w:szCs w:val="14"/>
          <w:lang w:val="en-US"/>
        </w:rPr>
        <w:t>&lt;a:Action s:mustUnderstand=”1”&gt;urn:sist:pddsasl:bindings:1.0:CVPPortType#chkPrescrizione&lt;/a:Action&gt;</w:t>
      </w:r>
    </w:p>
    <w:p>
      <w:pPr>
        <w:pStyle w:val="Normal"/>
        <w:rPr>
          <w:sz w:val="14"/>
          <w:szCs w:val="14"/>
        </w:rPr>
      </w:pPr>
      <w:r>
        <w:rPr>
          <w:sz w:val="14"/>
          <w:szCs w:val="14"/>
        </w:rPr>
        <w:t>&lt;a:MessageID&gt;urn:uuid:9e722a0a-4ada-4848-a890-4ccd182c26cd&lt;/a:MessageID&gt;</w:t>
      </w:r>
    </w:p>
    <w:p>
      <w:pPr>
        <w:pStyle w:val="Normal"/>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pPr>
        <w:pStyle w:val="Normal"/>
        <w:rPr>
          <w:sz w:val="14"/>
          <w:szCs w:val="14"/>
          <w:lang w:val="en-US"/>
        </w:rPr>
      </w:pPr>
      <w:r>
        <w:rPr>
          <w:sz w:val="14"/>
          <w:szCs w:val="14"/>
          <w:lang w:val="en-US"/>
        </w:rPr>
        <w:t>&lt;a:ReplyTo&gt;</w:t>
      </w:r>
    </w:p>
    <w:p>
      <w:pPr>
        <w:pStyle w:val="Normal"/>
        <w:rPr>
          <w:sz w:val="14"/>
          <w:szCs w:val="14"/>
          <w:lang w:val="en-US"/>
        </w:rPr>
      </w:pPr>
      <w:r>
        <w:rPr>
          <w:sz w:val="14"/>
          <w:szCs w:val="14"/>
          <w:lang w:val="en-US"/>
        </w:rPr>
        <w:t>&lt;a:Address&gt;http://www.w3.org/2005/08/addressing/anonymous&lt;/a:Address&gt;</w:t>
      </w:r>
    </w:p>
    <w:p>
      <w:pPr>
        <w:pStyle w:val="Normal"/>
        <w:rPr>
          <w:sz w:val="14"/>
          <w:szCs w:val="14"/>
          <w:lang w:val="en-US"/>
        </w:rPr>
      </w:pPr>
      <w:r>
        <w:rPr>
          <w:sz w:val="14"/>
          <w:szCs w:val="14"/>
          <w:lang w:val="en-US"/>
        </w:rPr>
        <w:t>&lt;/a:ReplyTo&gt;</w:t>
        <w:br/>
        <w:t>&lt;a:To s:mustUnderstand=”1” u:Id=”_1”&gt; https://pdd-virtasl.rmmg.rsr.rupar.puglia.it:8181/aslba/CVPService&lt;/a:To&gt;</w:t>
        <w:br/>
        <w:t>&lt;o:Security s:mustUnderstand=”1” xmlns:o=”http://docs.oasis-open.org/wss/2004/01/oasis-200401-wss-wssecurity-secext-1.0.xsd”&gt;</w:t>
        <w:br/>
        <w:t>&lt;u:Timestamp u:Id=”_0”&gt;</w:t>
        <w:br/>
        <w:t>&lt;u:Created&gt;2010-05-04T13:08:25.295Z&lt;/u:Created&gt;</w:t>
        <w:br/>
        <w:t>&lt;u:Expires&gt;2010-05-04T13:13:25.295Z&lt;/u:Expires&gt;</w:t>
        <w:br/>
        <w:t>&lt;/u:Timestamp&gt;</w:t>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br/>
        <w:t>&lt;Signature xmlns=”http://www.w3.org/2000/09/xmldsig#”&gt;</w:t>
        <w:br/>
        <w:t>&lt;SignedInfo&gt;</w:t>
        <w:br/>
        <w:t>&lt;CanonicalizationMethod Algorithm=”http://www.w3.org/2001/10/xml-exc-c14n#”/&gt;</w:t>
        <w:br/>
        <w:t>&lt;SignatureMethod Algorithm=”http://www.w3.org/2000/09/xmldsig#rsa-sha1”/&gt;</w:t>
      </w:r>
    </w:p>
    <w:p>
      <w:pPr>
        <w:pStyle w:val="Normal"/>
        <w:rPr>
          <w:sz w:val="14"/>
          <w:szCs w:val="14"/>
          <w:lang w:val="en-US"/>
        </w:rPr>
      </w:pPr>
      <w:r>
        <w:rPr>
          <w:sz w:val="14"/>
          <w:szCs w:val="14"/>
          <w:lang w:val="en-US"/>
        </w:rPr>
        <w:t>&lt;Reference URI=”#_0”&gt;</w:t>
        <w:br/>
        <w:t>&lt;Transforms&gt;</w:t>
        <w:br/>
        <w:t>&lt;Transform Algorithm=”http://www.w3.org/2001/10/xml-exc-c14n#”/&gt;</w:t>
        <w:br/>
        <w:t>&lt;/Transforms&gt;</w:t>
        <w:br/>
        <w:t>&lt;DigestMethod Algorithm=”http://www.w3.org/2000/09/xmldsig#sha1”/&gt;</w:t>
        <w:br/>
        <w:t>&lt;DigestValue&gt;LA7ESnDXDn890G2ju+iWFo8powE=&lt;/DigestValue&gt;</w:t>
        <w:br/>
        <w:t>&lt;/Reference&gt;</w:t>
        <w:br/>
        <w:t>&lt;Reference URI=”#_1”&gt;</w:t>
      </w:r>
    </w:p>
    <w:p>
      <w:pPr>
        <w:pStyle w:val="Normal"/>
        <w:rPr>
          <w:sz w:val="14"/>
          <w:szCs w:val="14"/>
          <w:lang w:val="en-US"/>
        </w:rPr>
      </w:pPr>
      <w:r>
        <w:rPr>
          <w:sz w:val="14"/>
          <w:szCs w:val="14"/>
          <w:lang w:val="en-US"/>
        </w:rPr>
        <w:t>&lt;Transforms&gt;</w:t>
        <w:br/>
        <w:t>&lt;Transform Algorithm=”http://www.w3.org/2001/10/xml-exc-c14n#”/&gt;</w:t>
        <w:br/>
        <w:t>&lt;/Transforms&gt;</w:t>
      </w:r>
    </w:p>
    <w:p>
      <w:pPr>
        <w:pStyle w:val="Normal"/>
        <w:rPr>
          <w:sz w:val="14"/>
          <w:szCs w:val="14"/>
          <w:lang w:val="en-US"/>
        </w:rPr>
      </w:pPr>
      <w:r>
        <w:rPr>
          <w:sz w:val="14"/>
          <w:szCs w:val="14"/>
          <w:lang w:val="en-US"/>
        </w:rPr>
        <w:t>&lt;DigestMethod Algorithm=”http://www.w3.org/2000/09/xmldsig#sha1”/&gt;</w:t>
        <w:br/>
        <w:t>&lt;DigestValue&gt;VqhBdO39fjvxYQp7/W8oJlF593U=&lt;/DigestValue&gt;</w:t>
        <w:br/>
        <w:t>&lt;/Reference&gt;</w:t>
      </w:r>
    </w:p>
    <w:p>
      <w:pPr>
        <w:pStyle w:val="Normal"/>
        <w:rPr>
          <w:sz w:val="14"/>
          <w:szCs w:val="14"/>
          <w:lang w:val="en-US"/>
        </w:rPr>
      </w:pPr>
      <w:r>
        <w:rPr>
          <w:sz w:val="14"/>
          <w:szCs w:val="14"/>
          <w:lang w:val="en-US"/>
        </w:rPr>
        <w:t>&lt;/SignedInfo&gt;</w:t>
        <w:br/>
        <w:t>&lt;SignatureValue&gt;WszYBitr7LdIKWHl4YgemlU5N3qoMouZUWwaiw2L2oYKwnJffZM0Udo2BXBti9bg/Sc//HkunhThcMJtwVqIAqPKipLXRuwhhAJQact8ZS9mHWLUU+qD2zvLWEO+vjuE6gn7EMgAeMMPvVUUjRW5nzw+sQQpByJNIvYNJG8PxEU=&lt;/SignatureValue&gt;</w:t>
      </w:r>
    </w:p>
    <w:p>
      <w:pPr>
        <w:pStyle w:val="Normal"/>
        <w:rPr>
          <w:sz w:val="14"/>
          <w:szCs w:val="14"/>
          <w:lang w:val="en-US"/>
        </w:rPr>
      </w:pPr>
      <w:r>
        <w:rPr>
          <w:sz w:val="14"/>
          <w:szCs w:val="14"/>
          <w:lang w:val="en-US"/>
        </w:rPr>
        <w:t>&lt;KeyInfo&gt;</w:t>
        <w:br/>
        <w:t>&lt;o:SecurityTokenReference&gt;</w:t>
        <w:br/>
        <w:t>&lt;o:Reference ValueType=”http://docs.oasis-open.org/wss/2004/01/oasis-200401-wss-x509-token-profile-1.0#X509v3” URI=”#uuid-afc1035a-2a17-436f-b5a7-9412fab9c600-19”/&gt;</w:t>
        <w:br/>
        <w:t>&lt;/o:SecurityTokenReference&gt;</w:t>
        <w:br/>
        <w:t>&lt;/KeyInfo&gt;</w:t>
      </w:r>
    </w:p>
    <w:p>
      <w:pPr>
        <w:pStyle w:val="Normal"/>
        <w:rPr>
          <w:sz w:val="14"/>
          <w:szCs w:val="14"/>
          <w:lang w:val="en-US"/>
        </w:rPr>
      </w:pPr>
      <w:r>
        <w:rPr>
          <w:sz w:val="14"/>
          <w:szCs w:val="14"/>
          <w:lang w:val="en-US"/>
        </w:rPr>
        <w:t>&lt;/Signature&gt;</w:t>
      </w:r>
    </w:p>
    <w:p>
      <w:pPr>
        <w:pStyle w:val="Normal"/>
        <w:rPr>
          <w:sz w:val="14"/>
          <w:szCs w:val="14"/>
          <w:lang w:val="en-US"/>
        </w:rPr>
      </w:pPr>
      <w:r>
        <w:rPr>
          <w:sz w:val="14"/>
          <w:szCs w:val="14"/>
          <w:lang w:val="en-US"/>
        </w:rPr>
        <w:t>&lt;/o:Security&gt;</w:t>
        <w:br/>
        <w:t>&lt;/s:Header&gt;</w:t>
      </w:r>
    </w:p>
    <w:p>
      <w:pPr>
        <w:pStyle w:val="Normal"/>
        <w:rPr>
          <w:sz w:val="14"/>
          <w:szCs w:val="14"/>
          <w:lang w:val="en-US"/>
        </w:rPr>
      </w:pPr>
      <w:r>
        <w:rPr>
          <w:sz w:val="14"/>
          <w:szCs w:val="14"/>
          <w:lang w:val="en-US"/>
        </w:rPr>
        <w:t>&lt;s:Body&gt;</w:t>
        <w:br/>
        <w:t>&lt;getAssistibileInAnagrafe xmlns=”www.sist.puglia.it/Schemas/PDD_SIST/SCATEL/”&gt;</w:t>
      </w:r>
    </w:p>
    <w:p>
      <w:pPr>
        <w:pStyle w:val="Normal"/>
        <w:rPr>
          <w:sz w:val="14"/>
          <w:szCs w:val="14"/>
        </w:rPr>
      </w:pPr>
      <w:r>
        <w:rPr>
          <w:sz w:val="14"/>
          <w:szCs w:val="14"/>
        </w:rPr>
        <w:t>&lt;datiOperatore&gt;</w:t>
      </w:r>
    </w:p>
    <w:p>
      <w:pPr>
        <w:pStyle w:val="Normal"/>
        <w:rPr>
          <w:sz w:val="14"/>
          <w:szCs w:val="14"/>
        </w:rPr>
      </w:pPr>
      <w:r>
        <w:rPr>
          <w:sz w:val="14"/>
          <w:szCs w:val="14"/>
        </w:rP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r>
    </w:p>
    <w:p>
      <w:pPr>
        <w:pStyle w:val="Normal"/>
        <w:rPr>
          <w:sz w:val="14"/>
          <w:szCs w:val="14"/>
        </w:rPr>
      </w:pPr>
      <w:r>
        <w:rPr>
          <w:sz w:val="14"/>
          <w:szCs w:val="14"/>
        </w:rP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pPr>
      <w:bookmarkStart w:id="43" w:name="_Toc173420500"/>
      <w:bookmarkStart w:id="44" w:name="_Toc438993496"/>
      <w:r>
        <w:rPr/>
        <w:t>Esempio di SOAP response</w:t>
      </w:r>
      <w:bookmarkEnd w:id="43"/>
      <w:bookmarkEnd w:id="44"/>
    </w:p>
    <w:p>
      <w:pPr>
        <w:pStyle w:val="Normal"/>
        <w:spacing w:lineRule="atLeast" w:line="240"/>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&lt;To xmlns=”http://www.w3.org/2005/08/addressing”&gt;http://www.w3.org/2005/08/addressing/anonymous&lt;/To&gt;</w:t>
      </w:r>
    </w:p>
    <w:p>
      <w:pPr>
        <w:pStyle w:val="Normal"/>
        <w:spacing w:lineRule="atLeast" w:line="240"/>
        <w:rPr>
          <w:sz w:val="14"/>
          <w:szCs w:val="14"/>
          <w:lang w:val="en-US"/>
        </w:rPr>
      </w:pPr>
      <w:r>
        <w:rPr>
          <w:sz w:val="14"/>
          <w:szCs w:val="14"/>
          <w:lang w:val="en-US"/>
        </w:rPr>
        <w:t>&lt;Action xmlns=”http://www.w3.org/2005/08/addressing”/&gt;</w:t>
      </w:r>
    </w:p>
    <w:p>
      <w:pPr>
        <w:pStyle w:val="Normal"/>
        <w:spacing w:lineRule="atLeast" w:line="240"/>
        <w:rPr>
          <w:sz w:val="14"/>
          <w:szCs w:val="14"/>
          <w:lang w:val="en-US"/>
        </w:rPr>
      </w:pPr>
      <w:r>
        <w:rPr>
          <w:sz w:val="14"/>
          <w:szCs w:val="14"/>
          <w:lang w:val="en-US"/>
        </w:rPr>
        <w:t>&lt;wsse:Security S:mustUnderstand=”1”&gt;</w:t>
      </w:r>
    </w:p>
    <w:p>
      <w:pPr>
        <w:pStyle w:val="Normal"/>
        <w:spacing w:lineRule="atLeast" w:line="240"/>
        <w:rPr>
          <w:sz w:val="14"/>
          <w:szCs w:val="14"/>
          <w:lang w:val="en-US"/>
        </w:rPr>
      </w:pPr>
      <w:r>
        <w:rPr>
          <w:sz w:val="14"/>
          <w:szCs w:val="14"/>
          <w:lang w:val="en-US"/>
        </w:rPr>
        <w:t>&lt;wsu:Timestamp xmlns:ns16=”http://docs.oasis-open.org/ws-sx/ws-secureconversation/200512” xmlns:ns15=”http://www.w3.org/2003/05/soap-envelope” wsu:Id=”_3”&gt;</w:t>
      </w:r>
    </w:p>
    <w:p>
      <w:pPr>
        <w:pStyle w:val="Normal"/>
        <w:spacing w:lineRule="atLeast" w:line="240"/>
        <w:rPr>
          <w:sz w:val="14"/>
          <w:szCs w:val="14"/>
          <w:lang w:val="en-US"/>
        </w:rPr>
      </w:pPr>
      <w:r>
        <w:rPr>
          <w:sz w:val="14"/>
          <w:szCs w:val="14"/>
          <w:lang w:val="en-US"/>
        </w:rPr>
        <w:t>&lt;wsu:Created&gt;2011-04-21T10:27:36Z&lt;/wsu:Created&gt;</w:t>
      </w:r>
    </w:p>
    <w:p>
      <w:pPr>
        <w:pStyle w:val="Normal"/>
        <w:spacing w:lineRule="atLeast" w:line="240"/>
        <w:rPr>
          <w:sz w:val="14"/>
          <w:szCs w:val="14"/>
          <w:lang w:val="en-US"/>
        </w:rPr>
      </w:pPr>
      <w:r>
        <w:rPr>
          <w:sz w:val="14"/>
          <w:szCs w:val="14"/>
          <w:lang w:val="en-US"/>
        </w:rPr>
        <w:t>&lt;wsu:Expires&gt;2011-04-21T10:32:36Z&lt;/wsu:Expires&gt;</w:t>
      </w:r>
    </w:p>
    <w:p>
      <w:pPr>
        <w:pStyle w:val="Normal"/>
        <w:spacing w:lineRule="atLeast" w:line="240"/>
        <w:rPr>
          <w:sz w:val="14"/>
          <w:szCs w:val="14"/>
          <w:lang w:val="en-US"/>
        </w:rPr>
      </w:pPr>
      <w:r>
        <w:rPr>
          <w:sz w:val="14"/>
          <w:szCs w:val="14"/>
          <w:lang w:val="en-US"/>
        </w:rPr>
        <w:t>&lt;/wsu:Timestamp&gt;</w:t>
      </w:r>
    </w:p>
    <w:p>
      <w:pPr>
        <w:pStyle w:val="Normal"/>
        <w:spacing w:lineRule="atLeast" w:line="240"/>
        <w:rPr>
          <w:sz w:val="14"/>
          <w:szCs w:val="14"/>
          <w:lang w:val="en-US"/>
        </w:rPr>
      </w:pPr>
      <w:r>
        <w:rPr>
          <w:sz w:val="14"/>
          <w:szCs w:val="14"/>
          <w:lang w:val="en-US"/>
        </w:rPr>
        <w:t>&lt;ds:Signature xmlns:ns16=”http://docs.oasis-open.org/ws-sx/ws-secureconversation/200512” xmlns:ns15=”http://www.w3.org/2003/05/soap-envelope” Id=”_1”&gt;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&lt;ds:CanonicalizationMethod Algorithm=”http://www.w3.org/2001/10/xml-exc-c14n#”&gt;</w:t>
      </w:r>
    </w:p>
    <w:p>
      <w:pPr>
        <w:pStyle w:val="Normal"/>
        <w:spacing w:lineRule="atLeast" w:line="240"/>
        <w:rPr>
          <w:sz w:val="14"/>
          <w:szCs w:val="14"/>
          <w:lang w:val="en-US"/>
        </w:rPr>
      </w:pPr>
      <w:r>
        <w:rPr>
          <w:sz w:val="14"/>
          <w:szCs w:val="14"/>
          <w:lang w:val="en-US"/>
        </w:rPr>
        <w:t>&lt;exc14n:InclusiveNamespaces PrefixList=”wsse S”/&gt;</w:t>
      </w:r>
    </w:p>
    <w:p>
      <w:pPr>
        <w:pStyle w:val="Normal"/>
        <w:spacing w:lineRule="atLeast" w:line="240"/>
        <w:rPr>
          <w:sz w:val="14"/>
          <w:szCs w:val="14"/>
          <w:lang w:val="en-US"/>
        </w:rPr>
      </w:pPr>
      <w:r>
        <w:rPr>
          <w:sz w:val="14"/>
          <w:szCs w:val="14"/>
          <w:lang w:val="en-US"/>
        </w:rPr>
        <w:t>&lt;/ds:CanonicalizationMethod&gt;</w:t>
      </w:r>
    </w:p>
    <w:p>
      <w:pPr>
        <w:pStyle w:val="Normal"/>
        <w:spacing w:lineRule="atLeast" w:line="240"/>
        <w:rPr>
          <w:sz w:val="14"/>
          <w:szCs w:val="14"/>
          <w:lang w:val="en-US"/>
        </w:rPr>
      </w:pPr>
      <w:r>
        <w:rPr>
          <w:sz w:val="14"/>
          <w:szCs w:val="14"/>
          <w:lang w:val="en-US"/>
        </w:rPr>
        <w:t>&lt;ds:SignatureMethod Algorithm=”http://www.w3.org/2000/09/xmldsig#rsa-sha1”/&gt;</w:t>
      </w:r>
    </w:p>
    <w:p>
      <w:pPr>
        <w:pStyle w:val="Normal"/>
        <w:spacing w:lineRule="atLeast" w:line="240"/>
        <w:rPr>
          <w:sz w:val="14"/>
          <w:szCs w:val="14"/>
          <w:lang w:val="en-US"/>
        </w:rPr>
      </w:pPr>
      <w:r>
        <w:rPr>
          <w:sz w:val="14"/>
          <w:szCs w:val="14"/>
          <w:lang w:val="en-US"/>
        </w:rPr>
        <w:t>&lt;ds:Reference URI=”#_3”&gt;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&lt;ds:Transform Algorithm=”http://www.w3.org/2001/10/xml-exc-c14n#”&gt;</w:t>
      </w:r>
    </w:p>
    <w:p>
      <w:pPr>
        <w:pStyle w:val="Normal"/>
        <w:spacing w:lineRule="atLeast" w:line="240"/>
        <w:rPr>
          <w:sz w:val="14"/>
          <w:szCs w:val="14"/>
          <w:lang w:val="en-US"/>
        </w:rPr>
      </w:pPr>
      <w:r>
        <w:rPr>
          <w:sz w:val="14"/>
          <w:szCs w:val="14"/>
          <w:lang w:val="en-US"/>
        </w:rPr>
        <w:t>&lt;exc14n:InclusiveNamespaces PrefixList=”wsu wsse S”/&gt;</w:t>
      </w:r>
    </w:p>
    <w:p>
      <w:pPr>
        <w:pStyle w:val="Normal"/>
        <w:spacing w:lineRule="atLeast" w:line="240"/>
        <w:rPr>
          <w:sz w:val="14"/>
          <w:szCs w:val="14"/>
          <w:lang w:val="en-US"/>
        </w:rPr>
      </w:pPr>
      <w:r>
        <w:rPr>
          <w:sz w:val="14"/>
          <w:szCs w:val="14"/>
          <w:lang w:val="en-US"/>
        </w:rPr>
        <w:t>&lt;/ds:Transform&gt;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&lt;ds:DigestMethod Algorithm=”http://www.w3.org/2000/09/xmldsig#sha1”/&gt;</w:t>
      </w:r>
    </w:p>
    <w:p>
      <w:pPr>
        <w:pStyle w:val="Normal"/>
        <w:spacing w:lineRule="atLeast" w:line="240"/>
        <w:rPr>
          <w:sz w:val="14"/>
          <w:szCs w:val="14"/>
          <w:lang w:val="en-US"/>
        </w:rPr>
      </w:pPr>
      <w:r>
        <w:rPr>
          <w:sz w:val="14"/>
          <w:szCs w:val="14"/>
          <w:lang w:val="en-US"/>
        </w:rPr>
        <w:t>&lt;ds:DigestValue&gt;odIf0WrF0o1Rprcd2RcgozLMs0M=&lt;/ds:DigestValue&gt;</w:t>
      </w:r>
    </w:p>
    <w:p>
      <w:pPr>
        <w:pStyle w:val="Normal"/>
        <w:spacing w:lineRule="atLeast" w:line="240"/>
        <w:rPr>
          <w:sz w:val="14"/>
          <w:szCs w:val="14"/>
          <w:lang w:val="en-US"/>
        </w:rPr>
      </w:pPr>
      <w:r>
        <w:rPr>
          <w:sz w:val="14"/>
          <w:szCs w:val="14"/>
          <w:lang w:val="en-US"/>
        </w:rPr>
        <w:t>&lt;/ds:Reference&gt;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&lt;/ds:Signature&gt;</w:t>
      </w:r>
    </w:p>
    <w:p>
      <w:pPr>
        <w:pStyle w:val="Normal"/>
        <w:spacing w:lineRule="atLeast" w:line="240"/>
        <w:rPr>
          <w:sz w:val="14"/>
          <w:szCs w:val="14"/>
          <w:lang w:val="en-US"/>
        </w:rPr>
      </w:pPr>
      <w:r>
        <w:rPr>
          <w:sz w:val="14"/>
          <w:szCs w:val="14"/>
          <w:lang w:val="en-US"/>
        </w:rPr>
        <w:t>&lt;/wsse:Security&gt;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&lt;S:Body&gt;</w:t>
      </w:r>
    </w:p>
    <w:p>
      <w:pPr>
        <w:pStyle w:val="Normal"/>
        <w:spacing w:lineRule="atLeast" w:line="240"/>
        <w:rPr>
          <w:sz w:val="14"/>
          <w:szCs w:val="14"/>
        </w:rPr>
      </w:pPr>
      <w:r>
        <w:rPr>
          <w:sz w:val="14"/>
          <w:szCs w:val="14"/>
        </w:rPr>
        <w:t>&lt;SANITA:getAssistibileInAnagrafeResponse xmlns:SANITA=”www.sist.puglia.it/Schemas/PDD_SIST/SCATEL/”&gt;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&lt;SANITA:codFiscale&gt;VLNLCU51E44A662J&lt;/SANITA:codFiscale&gt;</w:t>
      </w:r>
    </w:p>
    <w:p>
      <w:pPr>
        <w:pStyle w:val="Normal"/>
        <w:spacing w:lineRule="atLeast" w:line="240"/>
        <w:rPr>
          <w:sz w:val="14"/>
          <w:szCs w:val="14"/>
        </w:rPr>
      </w:pPr>
      <w:r>
        <w:rPr>
          <w:sz w:val="14"/>
          <w:szCs w:val="14"/>
        </w:rPr>
        <w:t>&lt;SANITA:codISTATCittadinanza/&gt;</w:t>
      </w:r>
    </w:p>
    <w:p>
      <w:pPr>
        <w:pStyle w:val="Normal"/>
        <w:spacing w:lineRule="atLeast" w:line="240"/>
        <w:rPr>
          <w:sz w:val="14"/>
          <w:szCs w:val="14"/>
        </w:rPr>
      </w:pPr>
      <w:r>
        <w:rPr>
          <w:sz w:val="14"/>
          <w:szCs w:val="14"/>
        </w:rPr>
        <w:t>&lt;SANITA:codIstatComuneDomicilio/&gt;</w:t>
      </w:r>
    </w:p>
    <w:p>
      <w:pPr>
        <w:pStyle w:val="Normal"/>
        <w:spacing w:lineRule="atLeast" w:line="240"/>
        <w:rPr>
          <w:sz w:val="14"/>
          <w:szCs w:val="14"/>
        </w:rPr>
      </w:pPr>
      <w:r>
        <w:rPr>
          <w:sz w:val="14"/>
          <w:szCs w:val="14"/>
        </w:rPr>
        <w:t>&lt;SANITA:codIstatComuneNascita&gt;072006&lt;/SANITA:codIstatComuneNascita&gt;</w:t>
      </w:r>
    </w:p>
    <w:p>
      <w:pPr>
        <w:pStyle w:val="Normal"/>
        <w:spacing w:lineRule="atLeast" w:line="240"/>
        <w:rPr>
          <w:sz w:val="14"/>
          <w:szCs w:val="14"/>
        </w:rPr>
      </w:pPr>
      <w:r>
        <w:rPr>
          <w:sz w:val="14"/>
          <w:szCs w:val="14"/>
        </w:rPr>
        <w:t>&lt;SANITA:codIstatComuneResidenza&gt;072006&lt;/SANITA:codIstatComuneResidenza&gt;</w:t>
      </w:r>
    </w:p>
    <w:p>
      <w:pPr>
        <w:pStyle w:val="Normal"/>
        <w:spacing w:lineRule="atLeast" w:line="240"/>
        <w:rPr>
          <w:sz w:val="14"/>
          <w:szCs w:val="14"/>
        </w:rPr>
      </w:pPr>
      <w:r>
        <w:rPr>
          <w:sz w:val="14"/>
          <w:szCs w:val="14"/>
        </w:rPr>
        <w:t>&lt;SANITA:codSanitario&gt;11104682402&lt;/SANITA:codSanitario&gt;</w:t>
      </w:r>
    </w:p>
    <w:p>
      <w:pPr>
        <w:pStyle w:val="Normal"/>
        <w:spacing w:lineRule="atLeast" w:line="240"/>
        <w:rPr>
          <w:sz w:val="14"/>
          <w:szCs w:val="14"/>
        </w:rPr>
      </w:pPr>
      <w:r>
        <w:rPr>
          <w:sz w:val="14"/>
          <w:szCs w:val="14"/>
        </w:rPr>
        <w:t>&lt;SANITA:codTipoAssistibile&gt;0&lt;/SANITA:codTipoAssistibile&gt;</w:t>
      </w:r>
    </w:p>
    <w:p>
      <w:pPr>
        <w:pStyle w:val="Normal"/>
        <w:spacing w:lineRule="atLeast" w:line="240"/>
        <w:rPr>
          <w:sz w:val="14"/>
          <w:szCs w:val="14"/>
        </w:rPr>
      </w:pPr>
      <w:r>
        <w:rPr>
          <w:sz w:val="14"/>
          <w:szCs w:val="14"/>
        </w:rPr>
        <w:t>&lt;SANITA:cognome&gt;VIOLANTE&lt;/SANITA:cognome&gt;</w:t>
      </w:r>
    </w:p>
    <w:p>
      <w:pPr>
        <w:pStyle w:val="Normal"/>
        <w:spacing w:lineRule="atLeast" w:line="240"/>
        <w:rPr>
          <w:sz w:val="14"/>
          <w:szCs w:val="14"/>
        </w:rPr>
      </w:pPr>
      <w:r>
        <w:rPr>
          <w:sz w:val="14"/>
          <w:szCs w:val="14"/>
        </w:rPr>
        <w:t>&lt;SANITA:comuneDomicilio/&gt;</w:t>
      </w:r>
    </w:p>
    <w:p>
      <w:pPr>
        <w:pStyle w:val="Normal"/>
        <w:spacing w:lineRule="atLeast" w:line="240"/>
        <w:rPr>
          <w:sz w:val="14"/>
          <w:szCs w:val="14"/>
        </w:rPr>
      </w:pPr>
      <w:r>
        <w:rPr>
          <w:sz w:val="14"/>
          <w:szCs w:val="14"/>
        </w:rPr>
        <w:t>&lt;SANITA:comuneNascita&gt;BARI&lt;/SANITA:comuneNascita&gt;</w:t>
      </w:r>
    </w:p>
    <w:p>
      <w:pPr>
        <w:pStyle w:val="Normal"/>
        <w:spacing w:lineRule="atLeast" w:line="240"/>
        <w:rPr>
          <w:sz w:val="14"/>
          <w:szCs w:val="14"/>
        </w:rPr>
      </w:pPr>
      <w:r>
        <w:rPr>
          <w:sz w:val="14"/>
          <w:szCs w:val="14"/>
        </w:rPr>
        <w:t>&lt;SANITA:comuneResidenza&gt;BARI&lt;/SANITA:comuneResidenza&gt;</w:t>
      </w:r>
    </w:p>
    <w:p>
      <w:pPr>
        <w:pStyle w:val="Normal"/>
        <w:spacing w:lineRule="atLeast" w:line="240"/>
        <w:rPr>
          <w:sz w:val="14"/>
          <w:szCs w:val="14"/>
        </w:rPr>
      </w:pPr>
      <w:r>
        <w:rPr>
          <w:sz w:val="14"/>
          <w:szCs w:val="14"/>
        </w:rPr>
        <w:t>&lt;SANITA:dataNascita&gt;04/05/1951&lt;/SANITA:dataNascita&gt;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&lt;SANITA:codMotivoFineIscrizione/&gt;</w:t>
      </w:r>
    </w:p>
    <w:p>
      <w:pPr>
        <w:pStyle w:val="Normal"/>
        <w:spacing w:lineRule="atLeast" w:line="240"/>
        <w:rPr>
          <w:sz w:val="14"/>
          <w:szCs w:val="14"/>
        </w:rPr>
      </w:pPr>
      <w:r>
        <w:rPr>
          <w:sz w:val="14"/>
          <w:szCs w:val="14"/>
        </w:rPr>
        <w:t>&lt;SANITA:codMotivoIscrizione&gt;9&lt;/SANITA:codMotivoIscrizione&gt;</w:t>
      </w:r>
    </w:p>
    <w:p>
      <w:pPr>
        <w:pStyle w:val="Normal"/>
        <w:spacing w:lineRule="atLeast" w:line="240"/>
        <w:rPr>
          <w:sz w:val="14"/>
          <w:szCs w:val="14"/>
        </w:rPr>
      </w:pPr>
      <w:r>
        <w:rPr>
          <w:sz w:val="14"/>
          <w:szCs w:val="14"/>
        </w:rPr>
        <w:t>&lt;SANITA:codNazionaleUSL&gt;160114&lt;/SANITA:codNazionaleUSL&gt;</w:t>
      </w:r>
    </w:p>
    <w:p>
      <w:pPr>
        <w:pStyle w:val="Normal"/>
        <w:spacing w:lineRule="atLeast" w:line="240"/>
        <w:rPr>
          <w:sz w:val="14"/>
          <w:szCs w:val="14"/>
        </w:rPr>
      </w:pPr>
      <w:r>
        <w:rPr>
          <w:sz w:val="14"/>
          <w:szCs w:val="14"/>
        </w:rPr>
        <w:t>&lt;SANITA:dataFineIscrizione/&gt;</w:t>
      </w:r>
    </w:p>
    <w:p>
      <w:pPr>
        <w:pStyle w:val="Normal"/>
        <w:spacing w:lineRule="atLeast" w:line="240"/>
        <w:rPr>
          <w:sz w:val="14"/>
          <w:szCs w:val="14"/>
        </w:rPr>
      </w:pPr>
      <w:r>
        <w:rPr>
          <w:sz w:val="14"/>
          <w:szCs w:val="14"/>
        </w:rPr>
        <w:t>&lt;SANITA:dataInizioIscrizione&gt;01/01/2007&lt;/SANITA:dataInizioIscrizione&gt;</w:t>
      </w:r>
    </w:p>
    <w:p>
      <w:pPr>
        <w:pStyle w:val="Normal"/>
        <w:spacing w:lineRule="atLeast" w:line="240"/>
        <w:rPr>
          <w:sz w:val="14"/>
          <w:szCs w:val="14"/>
        </w:rPr>
      </w:pPr>
      <w:r>
        <w:rPr>
          <w:sz w:val="14"/>
          <w:szCs w:val="14"/>
        </w:rPr>
        <w:t>&lt;SANITA:denominazioneUSL&gt;BA&lt;/SANITA:denominazioneUSL&gt;</w:t>
      </w:r>
    </w:p>
    <w:p>
      <w:pPr>
        <w:pStyle w:val="Normal"/>
        <w:spacing w:lineRule="atLeast" w:line="240"/>
        <w:rPr>
          <w:sz w:val="14"/>
          <w:szCs w:val="14"/>
        </w:rPr>
      </w:pPr>
      <w:r>
        <w:rPr>
          <w:sz w:val="14"/>
          <w:szCs w:val="14"/>
        </w:rPr>
        <w:t>&lt;SANITA:descMotivoFineIscrizione/&gt;</w:t>
      </w:r>
    </w:p>
    <w:p>
      <w:pPr>
        <w:pStyle w:val="Normal"/>
        <w:spacing w:lineRule="atLeast" w:line="240"/>
        <w:rPr>
          <w:sz w:val="14"/>
          <w:szCs w:val="14"/>
        </w:rPr>
      </w:pPr>
      <w:r>
        <w:rPr>
          <w:sz w:val="14"/>
          <w:szCs w:val="14"/>
        </w:rPr>
        <w:t>&lt;SANITA:descMotivoIscrizione&gt;PRIMA ISCRIZIONE&lt;/SANITA:descMotivoIscrizione&gt;</w:t>
      </w:r>
    </w:p>
    <w:p>
      <w:pPr>
        <w:pStyle w:val="Normal"/>
        <w:spacing w:lineRule="atLeast" w:line="240"/>
        <w:rPr>
          <w:sz w:val="14"/>
          <w:szCs w:val="14"/>
        </w:rPr>
      </w:pPr>
      <w:r>
        <w:rPr>
          <w:sz w:val="14"/>
          <w:szCs w:val="14"/>
        </w:rPr>
        <w:t>&lt;SANITA:flagIscrizioneTemporanea&gt;false&lt;/SANITA:flagIscrizioneTemporanea&gt;</w:t>
      </w:r>
    </w:p>
    <w:p>
      <w:pPr>
        <w:pStyle w:val="Normal"/>
        <w:spacing w:lineRule="atLeast" w:line="240"/>
        <w:rPr>
          <w:sz w:val="14"/>
          <w:szCs w:val="14"/>
        </w:rPr>
      </w:pPr>
      <w:r>
        <w:rPr>
          <w:sz w:val="14"/>
          <w:szCs w:val="14"/>
        </w:rPr>
        <w:t>&lt;SANITA:siglaUSL&gt;BA&lt;/SANITA:siglaUSL&gt;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&lt;SANITA:codMotivoFineScelta/&gt;</w:t>
      </w:r>
    </w:p>
    <w:p>
      <w:pPr>
        <w:pStyle w:val="Normal"/>
        <w:spacing w:lineRule="atLeast" w:line="240"/>
        <w:rPr>
          <w:sz w:val="14"/>
          <w:szCs w:val="14"/>
        </w:rPr>
      </w:pPr>
      <w:r>
        <w:rPr>
          <w:sz w:val="14"/>
          <w:szCs w:val="14"/>
        </w:rPr>
        <w:t>&lt;SANITA:codMotivoInizioScelta&gt;1&lt;/SANITA:codMotivoInizioScelta&gt;</w:t>
      </w:r>
    </w:p>
    <w:p>
      <w:pPr>
        <w:pStyle w:val="Normal"/>
        <w:spacing w:lineRule="atLeast" w:line="240"/>
        <w:rPr>
          <w:sz w:val="14"/>
          <w:szCs w:val="14"/>
        </w:rPr>
      </w:pPr>
      <w:r>
        <w:rPr>
          <w:sz w:val="14"/>
          <w:szCs w:val="14"/>
        </w:rPr>
        <w:t>&lt;SANITA:codiceMedico&gt;639141&lt;/SANITA:codiceMedico&gt;</w:t>
      </w:r>
    </w:p>
    <w:p>
      <w:pPr>
        <w:pStyle w:val="Normal"/>
        <w:spacing w:lineRule="atLeast" w:line="240"/>
        <w:rPr>
          <w:sz w:val="14"/>
          <w:szCs w:val="14"/>
        </w:rPr>
      </w:pPr>
      <w:r>
        <w:rPr>
          <w:sz w:val="14"/>
          <w:szCs w:val="14"/>
        </w:rPr>
        <w:t>&lt;SANITA:cognomeMedico&gt;PASTORELLI&lt;/SANITA:cognomeMedico&gt;</w:t>
      </w:r>
    </w:p>
    <w:p>
      <w:pPr>
        <w:pStyle w:val="Normal"/>
        <w:spacing w:lineRule="atLeast" w:line="240"/>
        <w:rPr>
          <w:sz w:val="14"/>
          <w:szCs w:val="14"/>
        </w:rPr>
      </w:pPr>
      <w:r>
        <w:rPr>
          <w:sz w:val="14"/>
          <w:szCs w:val="14"/>
        </w:rPr>
        <w:t>&lt;SANITA:dataFineScelta/&gt;</w:t>
      </w:r>
    </w:p>
    <w:p>
      <w:pPr>
        <w:pStyle w:val="Normal"/>
        <w:spacing w:lineRule="atLeast" w:line="240"/>
        <w:rPr>
          <w:sz w:val="14"/>
          <w:szCs w:val="14"/>
        </w:rPr>
      </w:pPr>
      <w:r>
        <w:rPr>
          <w:sz w:val="14"/>
          <w:szCs w:val="14"/>
        </w:rPr>
        <w:t>&lt;SANITA:dataInizioScelta&gt;05/12/2008&lt;/SANITA:dataInizioScelta&gt;</w:t>
      </w:r>
    </w:p>
    <w:p>
      <w:pPr>
        <w:pStyle w:val="Normal"/>
        <w:spacing w:lineRule="atLeast" w:line="240"/>
        <w:rPr>
          <w:sz w:val="14"/>
          <w:szCs w:val="14"/>
        </w:rPr>
      </w:pPr>
      <w:r>
        <w:rPr>
          <w:sz w:val="14"/>
          <w:szCs w:val="14"/>
        </w:rPr>
        <w:t>&lt;SANITA:descrizioneMotivoFineScelta/&gt;</w:t>
      </w:r>
    </w:p>
    <w:p>
      <w:pPr>
        <w:pStyle w:val="Normal"/>
        <w:spacing w:lineRule="atLeast" w:line="240"/>
        <w:rPr>
          <w:sz w:val="14"/>
          <w:szCs w:val="14"/>
        </w:rPr>
      </w:pPr>
      <w:r>
        <w:rPr>
          <w:sz w:val="14"/>
          <w:szCs w:val="14"/>
        </w:rPr>
        <w:t>&lt;SANITA:descrizioneMotivoInizioScelta&gt;SCELTA OPERATA DA ASSISTIBILE&lt;/SANITA:descrizioneMotivoInizioScelta&gt;</w:t>
      </w:r>
    </w:p>
    <w:p>
      <w:pPr>
        <w:pStyle w:val="Normal"/>
        <w:spacing w:lineRule="atLeast" w:line="240"/>
        <w:rPr>
          <w:sz w:val="14"/>
          <w:szCs w:val="14"/>
        </w:rPr>
      </w:pPr>
      <w:r>
        <w:rPr>
          <w:sz w:val="14"/>
          <w:szCs w:val="14"/>
        </w:rPr>
        <w:t>&lt;SANITA:nomeMedico&gt;ANTONIO&lt;/SANITA:nomeMedico&gt;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&lt;SANITA:descCittadinanza/&gt;</w:t>
      </w:r>
    </w:p>
    <w:p>
      <w:pPr>
        <w:pStyle w:val="Normal"/>
        <w:spacing w:lineRule="atLeast" w:line="240"/>
        <w:rPr>
          <w:sz w:val="14"/>
          <w:szCs w:val="14"/>
        </w:rPr>
      </w:pPr>
      <w:r>
        <w:rPr>
          <w:sz w:val="14"/>
          <w:szCs w:val="14"/>
        </w:rPr>
        <w:t>&lt;SANITA:indDomicilio/&gt;</w:t>
      </w:r>
    </w:p>
    <w:p>
      <w:pPr>
        <w:pStyle w:val="Normal"/>
        <w:spacing w:lineRule="atLeast" w:line="240"/>
        <w:rPr>
          <w:sz w:val="14"/>
          <w:szCs w:val="14"/>
        </w:rPr>
      </w:pPr>
      <w:r>
        <w:rPr>
          <w:sz w:val="14"/>
          <w:szCs w:val="14"/>
        </w:rPr>
        <w:t>&lt;SANITA:indResidenza&gt;VIA FANELLI 206/39&lt;/SANITA:indResidenza&gt;</w:t>
      </w:r>
    </w:p>
    <w:p>
      <w:pPr>
        <w:pStyle w:val="Normal"/>
        <w:spacing w:lineRule="atLeast" w:line="240"/>
        <w:rPr>
          <w:sz w:val="14"/>
          <w:szCs w:val="14"/>
        </w:rPr>
      </w:pPr>
      <w:r>
        <w:rPr>
          <w:sz w:val="14"/>
          <w:szCs w:val="14"/>
        </w:rPr>
        <w:t>&lt;SANITA:nome&gt;LUCIA&lt;/SANITA:nome&gt;</w:t>
      </w:r>
    </w:p>
    <w:p>
      <w:pPr>
        <w:pStyle w:val="Normal"/>
        <w:spacing w:lineRule="atLeast" w:line="240"/>
        <w:rPr>
          <w:sz w:val="14"/>
          <w:szCs w:val="14"/>
        </w:rPr>
      </w:pPr>
      <w:r>
        <w:rPr>
          <w:sz w:val="14"/>
          <w:szCs w:val="14"/>
        </w:rPr>
        <w:t>&lt;SANITA:sesso&gt;F&lt;/SANITA:sesso&gt;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&lt;/SANITA:getAssistibileInAnagrafeResponse&gt;</w:t>
      </w:r>
    </w:p>
    <w:p>
      <w:pPr>
        <w:pStyle w:val="Normal"/>
        <w:spacing w:lineRule="atLeast" w:line="240"/>
        <w:rPr>
          <w:sz w:val="14"/>
          <w:szCs w:val="14"/>
        </w:rPr>
      </w:pPr>
      <w:r>
        <w:rPr>
          <w:sz w:val="14"/>
          <w:szCs w:val="14"/>
        </w:rPr>
        <w:t>&lt;/S:Body&gt;</w:t>
      </w:r>
    </w:p>
    <w:p>
      <w:pPr>
        <w:pStyle w:val="Normal"/>
        <w:spacing w:lineRule="atLeast" w:line="240"/>
        <w:rPr>
          <w:sz w:val="14"/>
          <w:szCs w:val="14"/>
          <w:lang w:val="en-US"/>
        </w:rPr>
      </w:pPr>
      <w:r>
        <w:rPr>
          <w:sz w:val="14"/>
          <w:szCs w:val="14"/>
          <w:lang w:val="en-US"/>
        </w:rPr>
        <w:t>&lt;/S:Envelope&gt;</w:t>
      </w:r>
    </w:p>
    <w:p>
      <w:pPr>
        <w:pStyle w:val="Normal"/>
        <w:keepLines w:val="false"/>
        <w:spacing w:lineRule="auto" w:line="240" w:beforeAutospacing="1" w:after="0"/>
        <w:ind w:left="720"/>
        <w:rPr/>
      </w:pPr>
      <w:r>
        <w:rPr>
          <w:rStyle w:val="FootnoteReference"/>
        </w:rPr>
        <w:footnoteReference w:id="2"/>
      </w:r>
      <w:r>
        <w:rPr/>
        <w:t xml:space="preserve"> </w:t>
      </w:r>
      <w:r>
        <w:rPr/>
        <w:t>Nota</w:t>
      </w:r>
    </w:p>
    <w:p>
      <w:pPr>
        <w:pStyle w:val="Heading3"/>
        <w:rPr/>
      </w:pPr>
      <w:bookmarkStart w:id="45" w:name="_Toc173420501"/>
      <w:bookmarkStart w:id="46" w:name="_Toc438993497"/>
      <w:r>
        <w:rPr/>
        <w:t>Creazione Ws-Security header in tecnologia Java</w:t>
      </w:r>
      <w:bookmarkEnd w:id="45"/>
      <w:bookmarkEnd w:id="46"/>
    </w:p>
    <w:p>
      <w:pPr>
        <w:pStyle w:val="Normal"/>
        <w:keepLines w:val="false"/>
        <w:spacing w:lineRule="auto" w:line="240" w:beforeAutospacing="1" w:after="0"/>
        <w:ind w:left="720"/>
        <w:rPr/>
      </w:pPr>
      <w:r>
        <w:rPr/>
        <w:t>Nell’esempio seguente di creazione del messaggio SOAP in Java si sono usate classi standard del package javax.xml.soap e altre della libreria Oracle-Sun webservices-rt .</w:t>
      </w:r>
    </w:p>
    <w:p>
      <w:pPr>
        <w:pStyle w:val="Normal"/>
        <w:rPr/>
      </w:pPr>
      <w:r>
        <w:rPr/>
        <w:t>Classi da importare:</w:t>
      </w:r>
    </w:p>
    <w:p>
      <w:pPr>
        <w:pStyle w:val="Normal"/>
        <w:keepLines w:val="false"/>
        <w:spacing w:lineRule="auto" w:line="240" w:beforeAutospacing="1" w:after="0"/>
        <w:ind w:left="720"/>
        <w:rPr>
          <w:sz w:val="24"/>
          <w:szCs w:val="24"/>
        </w:rPr>
      </w:pPr>
      <w:r>
        <w:rPr>
          <w:sz w:val="24"/>
          <w:szCs w:val="24"/>
        </w:rPr>
      </w:r>
    </w:p>
    <w:p>
      <w:pPr>
        <w:pStyle w:val="Normal"/>
        <w:keepLines w:val="false"/>
        <w:spacing w:lineRule="auto" w:line="240" w:before="0" w:after="0"/>
        <w:ind w:left="1440"/>
        <w:rPr>
          <w:sz w:val="24"/>
          <w:szCs w:val="24"/>
        </w:rPr>
      </w:pPr>
      <w:r>
        <w:rPr>
          <w:rFonts w:cs="Courier New" w:ascii="Courier New" w:hAnsi="Courier New"/>
          <w:b/>
          <w:bCs/>
          <w:color w:val="7F0055"/>
        </w:rPr>
        <w:t>import</w:t>
      </w:r>
      <w:r>
        <w:rPr>
          <w:rFonts w:cs="Courier New" w:ascii="Courier New" w:hAnsi="Courier New"/>
          <w:color w:val="000000"/>
        </w:rPr>
        <w:t xml:space="preserve"> java.io.ByteArrayOutputStream;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java.io.FileInputStream;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java.security.KeyStore;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java.security.PrivateKey;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java.security.cert.Certificate;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java.text.DateFormat;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java.text.SimpleDateFormat;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java.util.ArrayList;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java.util.Calendar;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java.util.Collections;</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java.util.GregorianCalendar;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java.util.List;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java.util.TimeZone;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javax.xml.crypto.dsig.CanonicalizationMethod;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javax.xml.crypto.dsig.DigestMethod;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javax.xml.crypto.dsig.Reference;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javax.xml.crypto.dsig.SignatureMethod;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javax.xml.crypto.dsig.SignedInfo;</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javax.xml.crypto.dsig.Transform;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javax.xml.crypto.dsig.XMLSignature;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javax.xml.crypto.dsig.XMLSignatureFactory;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javax.xml.crypto.dsig.dom.DOMSignContext;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javax.xml.crypto.dsig.spec.C14NmethodParameterSpec;</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javax.xml.crypto.dsig.spec.TransformParameterSpec;</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javax.xml.namespace.Qname;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javax.xml.soap.MessageFactory;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javax.xml.soap.SOAPBody;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javax.xml.soap.SOAPConstants;</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javax.xml.soap.SOAPElement;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javax.xml.soap.SOAPEnvelope;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javax.xml.soap.SOAPException;</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javax.xml.soap.SOAPHeader;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javax.xml.soap.SOAPHeaderElement;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javax.xml.soap.SOAPMessage;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javax.xml.soap.SOAPPart;</w:t>
      </w:r>
    </w:p>
    <w:p>
      <w:pPr>
        <w:pStyle w:val="Normal"/>
        <w:keepLines w:val="false"/>
        <w:spacing w:lineRule="auto" w:line="240" w:before="0" w:after="0"/>
        <w:ind w:left="1440"/>
        <w:rPr>
          <w:rFonts w:ascii="Courier New" w:hAnsi="Courier New" w:cs="Courier New"/>
          <w:color w:val="000000"/>
          <w:lang w:val="en-US"/>
        </w:rPr>
      </w:pPr>
      <w:r>
        <w:rPr>
          <w:rFonts w:cs="Courier New" w:ascii="Courier New" w:hAnsi="Courier New"/>
          <w:b/>
          <w:bCs/>
          <w:color w:val="7F0055"/>
          <w:lang w:val="en-US"/>
        </w:rPr>
        <w:t>import</w:t>
      </w:r>
      <w:r>
        <w:rPr>
          <w:rFonts w:cs="Courier New" w:ascii="Courier New" w:hAnsi="Courier New"/>
          <w:color w:val="000000"/>
          <w:lang w:val="en-US"/>
        </w:rPr>
        <w:t xml:space="preserve"> com.sun.org.apache.xml.internal.security.utils.Base64;</w:t>
      </w:r>
    </w:p>
    <w:p>
      <w:pPr>
        <w:pStyle w:val="Normal"/>
        <w:keepLines w:val="false"/>
        <w:spacing w:lineRule="auto" w:line="240" w:before="0" w:after="0"/>
        <w:ind w:left="720"/>
        <w:rPr>
          <w:sz w:val="24"/>
          <w:szCs w:val="24"/>
          <w:lang w:val="en-US"/>
        </w:rPr>
      </w:pPr>
      <w:r>
        <w:rPr>
          <w:sz w:val="24"/>
          <w:szCs w:val="24"/>
          <w:lang w:val="en-US"/>
        </w:rPr>
      </w:r>
    </w:p>
    <w:p>
      <w:pPr>
        <w:pStyle w:val="Normal"/>
        <w:rPr/>
      </w:pPr>
      <w:r>
        <w:rPr/>
        <w:t>Dichiarazione di alcune costanti quali namespaces xml</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w:t>
      </w:r>
      <w:r>
        <w:rPr>
          <w:rFonts w:cs="Courier New" w:ascii="Courier New" w:hAnsi="Courier New"/>
          <w:color w:val="000000"/>
          <w:u w:val="single"/>
          <w:lang w:val="en-US"/>
        </w:rPr>
        <w:t>NAMESPACEURI_SOAPENV</w:t>
      </w:r>
      <w:r>
        <w:rPr>
          <w:rFonts w:cs="Courier New" w:ascii="Courier New" w:hAnsi="Courier New"/>
          <w:color w:val="000000"/>
          <w:lang w:val="en-US"/>
        </w:rPr>
        <w:t xml:space="preserve"> = </w:t>
      </w:r>
      <w:r>
        <w:rPr>
          <w:rFonts w:cs="Courier New" w:ascii="Courier New" w:hAnsi="Courier New"/>
          <w:color w:val="2A00FF"/>
          <w:lang w:val="en-US"/>
        </w:rPr>
        <w:t>“http://schemas.xmlsoap.org/soap/envelope/”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prefixUri = </w:t>
      </w:r>
      <w:r>
        <w:rPr>
          <w:rFonts w:cs="Courier New" w:ascii="Courier New" w:hAnsi="Courier New"/>
          <w:color w:val="2A00FF"/>
          <w:lang w:val="en-US"/>
        </w:rPr>
        <w:t>“http://docs.oasis-open.org/wss/2004/01/oasis-200401-wss-“</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NAMESPACEURI_WSSECURITY_WSSE = prefixUri + </w:t>
      </w:r>
      <w:r>
        <w:rPr>
          <w:rFonts w:cs="Courier New" w:ascii="Courier New" w:hAnsi="Courier New"/>
          <w:color w:val="2A00FF"/>
          <w:lang w:val="en-US"/>
        </w:rPr>
        <w:t>“wssecurity-secext-1.0.xsd”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NAMESPACEURI_WSSECURITY_WSU = prefixUri + </w:t>
      </w:r>
      <w:r>
        <w:rPr>
          <w:rFonts w:cs="Courier New" w:ascii="Courier New" w:hAnsi="Courier New"/>
          <w:color w:val="2A00FF"/>
          <w:lang w:val="en-US"/>
        </w:rPr>
        <w:t>“wssecurity-utility-1.0.xsd”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ATTRIBUTENAME_X509TOKEN = prefixUri + </w:t>
      </w:r>
      <w:r>
        <w:rPr>
          <w:rFonts w:cs="Courier New" w:ascii="Courier New" w:hAnsi="Courier New"/>
          <w:color w:val="2A00FF"/>
          <w:lang w:val="en-US"/>
        </w:rPr>
        <w:t>“x509-token-profile-1.0#X509v3”</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NAMESPACEURI_WSSECURITY_ENC = prefixUri + </w:t>
      </w:r>
      <w:r>
        <w:rPr>
          <w:rFonts w:cs="Courier New" w:ascii="Courier New" w:hAnsi="Courier New"/>
          <w:color w:val="2A00FF"/>
          <w:lang w:val="en-US"/>
        </w:rPr>
        <w:t>“soap-message-security-1.0#Base64Binary”</w:t>
      </w:r>
      <w:r>
        <w:rPr>
          <w:rFonts w:cs="Courier New" w:ascii="Courier New" w:hAnsi="Courier New"/>
          <w:color w:val="000000"/>
          <w:lang w:val="en-US"/>
        </w:rPr>
        <w:t>;</w:t>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Autospacing="1" w:after="0"/>
        <w:ind w:left="720"/>
        <w:rPr/>
      </w:pPr>
      <w:r>
        <w:rPr/>
        <w:t>Creazione di un messaggio SOAP vuoto e ottenimento dell’oggetto che rappresenta l’header del messaggio SOAP: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//message factory</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MessageFactory mf12 = MessageFactory.</w:t>
      </w:r>
      <w:r>
        <w:rPr>
          <w:rFonts w:cs="Courier New" w:ascii="Courier New" w:hAnsi="Courier New"/>
          <w:i/>
          <w:iCs/>
          <w:color w:val="000000"/>
          <w:lang w:val="en-US"/>
        </w:rPr>
        <w:t>newInstance</w:t>
      </w:r>
      <w:r>
        <w:rPr>
          <w:rFonts w:cs="Courier New" w:ascii="Courier New" w:hAnsi="Courier New"/>
          <w:color w:val="000000"/>
          <w:lang w:val="en-US"/>
        </w:rPr>
        <w:t>(SOAPConstants.</w:t>
      </w:r>
      <w:r>
        <w:rPr>
          <w:rFonts w:cs="Courier New" w:ascii="Courier New" w:hAnsi="Courier New"/>
          <w:i/>
          <w:iCs/>
          <w:color w:val="0000C0"/>
          <w:lang w:val="en-US"/>
        </w:rPr>
        <w:t>SOAP_1_2_PROTOCOL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//SOAP message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SOAPMessage soapMessage = mf12.createMessage();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envelope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SOAPPart soapPart = soapMessage.getSOAPPart();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SOAPEnvelope envelope = soapPart.getEnvelope();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header</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 header = envelope.getHeader();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if</w:t>
      </w:r>
      <w:r>
        <w:rPr>
          <w:rFonts w:cs="Courier New" w:ascii="Courier New" w:hAnsi="Courier New"/>
          <w:color w:val="000000"/>
          <w:lang w:val="en-US"/>
        </w:rPr>
        <w:t xml:space="preserve"> (header == </w:t>
      </w:r>
      <w:r>
        <w:rPr>
          <w:rFonts w:cs="Courier New" w:ascii="Courier New" w:hAnsi="Courier New"/>
          <w:b/>
          <w:bCs/>
          <w:color w:val="7F0055"/>
          <w:lang w:val="en-US"/>
        </w:rPr>
        <w:t>null</w:t>
      </w:r>
      <w:r>
        <w:rPr>
          <w:rFonts w:cs="Courier New" w:ascii="Courier New" w:hAnsi="Courier New"/>
          <w:color w:val="000000"/>
          <w:lang w:val="en-US"/>
        </w:rPr>
        <w:t>) {</w:t>
      </w:r>
    </w:p>
    <w:p>
      <w:pPr>
        <w:pStyle w:val="Normal"/>
        <w:keepLines w:val="false"/>
        <w:spacing w:lineRule="auto" w:line="240" w:before="0" w:after="0"/>
        <w:ind w:left="1440"/>
        <w:rPr>
          <w:sz w:val="24"/>
          <w:szCs w:val="24"/>
        </w:rPr>
      </w:pPr>
      <w:r>
        <w:rPr>
          <w:rFonts w:cs="Courier New" w:ascii="Courier New" w:hAnsi="Courier New"/>
          <w:color w:val="000000"/>
        </w:rPr>
        <w:t>header = envelope.addHeader();</w:t>
      </w:r>
    </w:p>
    <w:p>
      <w:pPr>
        <w:pStyle w:val="Normal"/>
        <w:keepLines w:val="false"/>
        <w:spacing w:lineRule="auto" w:line="240" w:before="0" w:after="0"/>
        <w:ind w:left="1440"/>
        <w:rPr>
          <w:sz w:val="24"/>
          <w:szCs w:val="24"/>
        </w:rPr>
      </w:pPr>
      <w:r>
        <w:rPr>
          <w:rFonts w:cs="Courier New" w:ascii="Courier New" w:hAnsi="Courier New"/>
          <w:color w:val="000000"/>
        </w:rPr>
        <w:t>}</w:t>
      </w:r>
    </w:p>
    <w:p>
      <w:pPr>
        <w:pStyle w:val="Normal"/>
        <w:keepLines w:val="false"/>
        <w:spacing w:lineRule="auto" w:line="240" w:before="0" w:after="0"/>
        <w:ind w:left="0"/>
        <w:rPr>
          <w:sz w:val="24"/>
          <w:szCs w:val="24"/>
        </w:rPr>
      </w:pPr>
      <w:r>
        <w:rPr>
          <w:sz w:val="24"/>
          <w:szCs w:val="24"/>
        </w:rPr>
      </w:r>
    </w:p>
    <w:p>
      <w:pPr>
        <w:pStyle w:val="Normal"/>
        <w:keepLines w:val="false"/>
        <w:spacing w:lineRule="auto" w:line="240" w:beforeAutospacing="1" w:after="0"/>
        <w:ind w:firstLine="720" w:left="0"/>
        <w:rPr/>
      </w:pPr>
      <w:r>
        <w:rPr/>
        <w:t>Creazione elemento Security come figlio di Header:</w:t>
      </w:r>
    </w:p>
    <w:p>
      <w:pPr>
        <w:pStyle w:val="Normal"/>
        <w:keepLines w:val="false"/>
        <w:spacing w:lineRule="auto" w:line="240" w:beforeAutospacing="1" w:after="0"/>
        <w:ind w:firstLine="720"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SOAPHeaderElement securityElement = header.addHeaderElement(</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Qname(NAMESPACEURI_WSSECURITY_WSSE, </w:t>
      </w:r>
      <w:r>
        <w:rPr>
          <w:rFonts w:cs="Courier New" w:ascii="Courier New" w:hAnsi="Courier New"/>
          <w:color w:val="2A00FF"/>
          <w:lang w:val="en-US"/>
        </w:rPr>
        <w:t>“Security”</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securityElement.addNamespaceDeclaration(</w:t>
      </w:r>
      <w:r>
        <w:rPr>
          <w:rFonts w:cs="Courier New" w:ascii="Courier New" w:hAnsi="Courier New"/>
          <w:color w:val="2A00FF"/>
          <w:lang w:val="en-US"/>
        </w:rPr>
        <w:t>“wsu”</w:t>
      </w:r>
      <w:r>
        <w:rPr>
          <w:rFonts w:cs="Courier New" w:ascii="Courier New" w:hAnsi="Courier New"/>
          <w:color w:val="000000"/>
          <w:lang w:val="en-US"/>
        </w:rPr>
        <w:t>, NAMESPACEURI_WSSECURITY_WSU);</w:t>
      </w:r>
    </w:p>
    <w:p>
      <w:pPr>
        <w:pStyle w:val="Normal"/>
        <w:keepLines w:val="false"/>
        <w:spacing w:lineRule="auto" w:line="240" w:before="0" w:after="0"/>
        <w:ind w:left="720"/>
        <w:rPr>
          <w:lang w:val="en-US"/>
        </w:rPr>
      </w:pPr>
      <w:r>
        <w:rPr>
          <w:lang w:val="en-US"/>
        </w:rPr>
      </w:r>
    </w:p>
    <w:p>
      <w:pPr>
        <w:pStyle w:val="Normal"/>
        <w:keepLines w:val="false"/>
        <w:spacing w:lineRule="auto" w:line="240" w:beforeAutospacing="1" w:after="0"/>
        <w:ind w:left="720"/>
        <w:rPr/>
      </w:pPr>
      <w:r>
        <w:rPr/>
        <w:t>Creazione dell’elemento Timestamp come figlio di Security e creazione elementi data/ora creazione e fine validità messaggio SOAP come figli di Timestamp.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rPr>
      </w:pPr>
      <w:r>
        <w:rPr>
          <w:rFonts w:cs="Courier New" w:ascii="Courier New" w:hAnsi="Courier New"/>
          <w:color w:val="3F7F5F"/>
        </w:rPr>
        <w:t xml:space="preserve">// Generate </w:t>
      </w:r>
      <w:r>
        <w:rPr>
          <w:rFonts w:cs="Courier New" w:ascii="Courier New" w:hAnsi="Courier New"/>
          <w:color w:val="3F7F5F"/>
          <w:u w:val="single"/>
        </w:rPr>
        <w:t>timestamps</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creationTime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expirationTime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expirationTime.add(Calendar.</w:t>
      </w:r>
      <w:r>
        <w:rPr>
          <w:rFonts w:cs="Courier New" w:ascii="Courier New" w:hAnsi="Courier New"/>
          <w:i/>
          <w:iCs/>
          <w:color w:val="0000C0"/>
        </w:rPr>
        <w:t>MINUTE</w:t>
      </w:r>
      <w:r>
        <w:rPr>
          <w:rFonts w:cs="Courier New" w:ascii="Courier New" w:hAnsi="Courier New"/>
          <w:color w:val="000000"/>
        </w:rPr>
        <w:t>, 5);</w:t>
      </w:r>
    </w:p>
    <w:p>
      <w:pPr>
        <w:pStyle w:val="Normal"/>
        <w:keepLines w:val="false"/>
        <w:spacing w:lineRule="auto" w:line="240" w:before="0" w:after="0"/>
        <w:ind w:left="1440"/>
        <w:rPr>
          <w:sz w:val="24"/>
          <w:szCs w:val="24"/>
        </w:rPr>
      </w:pPr>
      <w:r>
        <w:rPr>
          <w:rFonts w:cs="Courier New" w:ascii="Courier New" w:hAnsi="Courier New"/>
          <w:color w:val="3F7F5F"/>
        </w:rPr>
        <w:t>//date formatter</w:t>
      </w:r>
    </w:p>
    <w:p>
      <w:pPr>
        <w:pStyle w:val="Normal"/>
        <w:keepLines w:val="false"/>
        <w:spacing w:lineRule="auto" w:line="240" w:before="0" w:after="0"/>
        <w:ind w:left="1440"/>
        <w:rPr>
          <w:sz w:val="24"/>
          <w:szCs w:val="24"/>
        </w:rPr>
      </w:pPr>
      <w:r>
        <w:rPr>
          <w:rFonts w:cs="Courier New" w:ascii="Courier New" w:hAnsi="Courier New"/>
          <w:color w:val="000000"/>
        </w:rPr>
        <w:t xml:space="preserve">DateFormat dfm = </w:t>
      </w:r>
      <w:r>
        <w:rPr>
          <w:rFonts w:cs="Courier New" w:ascii="Courier New" w:hAnsi="Courier New"/>
          <w:b/>
          <w:bCs/>
          <w:color w:val="7F0055"/>
        </w:rPr>
        <w:t>new</w:t>
      </w:r>
      <w:r>
        <w:rPr>
          <w:rFonts w:cs="Courier New" w:ascii="Courier New" w:hAnsi="Courier New"/>
          <w:color w:val="000000"/>
        </w:rPr>
        <w:t xml:space="preserve"> SimpleDateFormat(</w:t>
      </w:r>
      <w:r>
        <w:rPr>
          <w:rFonts w:cs="Courier New" w:ascii="Courier New" w:hAnsi="Courier New"/>
          <w:color w:val="2A00FF"/>
        </w:rPr>
        <w:t>“yyyy-MM-dd’T’HH:mm:ss’Z’”</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dfm.setTimeZone(TimeZone.</w:t>
      </w:r>
      <w:r>
        <w:rPr>
          <w:rFonts w:cs="Courier New" w:ascii="Courier New" w:hAnsi="Courier New"/>
          <w:i/>
          <w:iCs/>
          <w:color w:val="000000"/>
        </w:rPr>
        <w:t>getTimeZone</w:t>
      </w:r>
      <w:r>
        <w:rPr>
          <w:rFonts w:cs="Courier New" w:ascii="Courier New" w:hAnsi="Courier New"/>
          <w:color w:val="000000"/>
        </w:rPr>
        <w:t>(</w:t>
      </w:r>
      <w:r>
        <w:rPr>
          <w:rFonts w:cs="Courier New" w:ascii="Courier New" w:hAnsi="Courier New"/>
          <w:color w:val="2A00FF"/>
        </w:rPr>
        <w:t>“GMT”</w:t>
      </w:r>
      <w:r>
        <w:rPr>
          <w:rFonts w:cs="Courier New" w:ascii="Courier New" w:hAnsi="Courier New"/>
          <w:color w:val="000000"/>
        </w:rPr>
        <w:t>));</w:t>
      </w:r>
    </w:p>
    <w:p>
      <w:pPr>
        <w:pStyle w:val="Normal"/>
        <w:keepLines w:val="false"/>
        <w:spacing w:lineRule="auto" w:line="240" w:before="0" w:after="0"/>
        <w:ind w:left="144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xml:space="preserve">// Prepare </w:t>
      </w:r>
      <w:r>
        <w:rPr>
          <w:rFonts w:cs="Courier New" w:ascii="Courier New" w:hAnsi="Courier New"/>
          <w:color w:val="3F7F5F"/>
          <w:u w:val="single"/>
          <w:lang w:val="en-US"/>
        </w:rPr>
        <w:t>timestamp</w:t>
      </w:r>
      <w:r>
        <w:rPr>
          <w:rFonts w:cs="Courier New" w:ascii="Courier New" w:hAnsi="Courier New"/>
          <w:color w:val="3F7F5F"/>
          <w:lang w:val="en-US"/>
        </w:rPr>
        <w:t xml:space="preserve">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timeStampElement = securityElement.addChildElement(</w:t>
      </w:r>
      <w:r>
        <w:rPr>
          <w:rFonts w:cs="Courier New" w:ascii="Courier New" w:hAnsi="Courier New"/>
          <w:color w:val="2A00FF"/>
          <w:lang w:val="en-US"/>
        </w:rPr>
        <w:t>“Timestamp”</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timeStampElement.addAttribute(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“timestamp”</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createdElement = timeStampElement.addChildElement(</w:t>
      </w:r>
      <w:r>
        <w:rPr>
          <w:rFonts w:cs="Courier New" w:ascii="Courier New" w:hAnsi="Courier New"/>
          <w:color w:val="2A00FF"/>
          <w:lang w:val="en-US"/>
        </w:rPr>
        <w:t>“Created”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createdElement.addTextNode(dfm.format(creationTime.getTime()));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expiresElement = timeStampElement.addChildElement(</w:t>
      </w:r>
      <w:r>
        <w:rPr>
          <w:rFonts w:cs="Courier New" w:ascii="Courier New" w:hAnsi="Courier New"/>
          <w:color w:val="2A00FF"/>
          <w:lang w:val="en-US"/>
        </w:rPr>
        <w:t>“Expires”</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expiresElement.addTextNode(dfm.format(expirationTime.getTime()));</w:t>
      </w:r>
    </w:p>
    <w:p>
      <w:pPr>
        <w:pStyle w:val="Normal"/>
        <w:keepLines w:val="false"/>
        <w:spacing w:lineRule="auto" w:line="240" w:before="0" w:after="0"/>
        <w:ind w:left="0"/>
        <w:rPr>
          <w:sz w:val="24"/>
          <w:szCs w:val="24"/>
        </w:rPr>
      </w:pPr>
      <w:r>
        <w:rPr>
          <w:sz w:val="24"/>
          <w:szCs w:val="24"/>
        </w:rPr>
      </w:r>
    </w:p>
    <w:p>
      <w:pPr>
        <w:pStyle w:val="Normal"/>
        <w:keepLines w:val="false"/>
        <w:spacing w:lineRule="auto" w:line="240" w:beforeAutospacing="1" w:after="0"/>
        <w:ind w:left="720"/>
        <w:rPr/>
      </w:pPr>
      <w:r>
        <w:rPr/>
        <w:t>Creazione elemento BinarySecurityToken come figlio di Security. Si rimanda la documentazione del metodo getBase64X509() in seguito.</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security token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binarySecurityTokenElement = securityElement.addChildElement(</w:t>
      </w:r>
      <w:r>
        <w:rPr>
          <w:rFonts w:cs="Courier New" w:ascii="Courier New" w:hAnsi="Courier New"/>
          <w:color w:val="2A00FF"/>
          <w:lang w:val="en-US"/>
        </w:rPr>
        <w:t>“BinarySecurityToken”</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“EncodingType”</w:t>
      </w:r>
      <w:r>
        <w:rPr>
          <w:rFonts w:cs="Courier New" w:ascii="Courier New" w:hAnsi="Courier New"/>
          <w:color w:val="000000"/>
          <w:lang w:val="en-US"/>
        </w:rPr>
        <w:t>), NAMESPACEURI_WSSECURITY_ENC);</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“cert”</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“ValueType”</w:t>
      </w:r>
      <w:r>
        <w:rPr>
          <w:rFonts w:cs="Courier New" w:ascii="Courier New" w:hAnsi="Courier New"/>
          <w:color w:val="000000"/>
          <w:lang w:val="en-US"/>
        </w:rPr>
        <w:t>), ATTRIBUTENAME_X509TOKEN);</w:t>
      </w:r>
    </w:p>
    <w:p>
      <w:pPr>
        <w:pStyle w:val="Normal"/>
        <w:keepLines w:val="false"/>
        <w:spacing w:lineRule="auto" w:line="240" w:before="0" w:after="0"/>
        <w:ind w:left="1440"/>
        <w:rPr>
          <w:sz w:val="24"/>
          <w:szCs w:val="24"/>
        </w:rPr>
      </w:pPr>
      <w:r>
        <w:rPr>
          <w:rFonts w:cs="Courier New" w:ascii="Courier New" w:hAnsi="Courier New"/>
          <w:color w:val="000000"/>
        </w:rPr>
        <w:t>binarySecurityTokenElement.addTextNode(</w:t>
      </w:r>
      <w:r>
        <w:rPr>
          <w:rFonts w:cs="Courier New" w:ascii="Courier New" w:hAnsi="Courier New"/>
          <w:i/>
          <w:iCs/>
          <w:color w:val="000000"/>
        </w:rPr>
        <w:t>getBase64X509</w:t>
      </w:r>
      <w:r>
        <w:rPr>
          <w:rFonts w:cs="Courier New" w:ascii="Courier New" w:hAnsi="Courier New"/>
          <w:color w:val="000000"/>
        </w:rPr>
        <w:t>());</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Autospacing="1" w:after="0"/>
        <w:ind w:left="720"/>
        <w:jc w:val="both"/>
        <w:rPr/>
      </w:pPr>
      <w:r>
        <w:rPr/>
        <w:t>Creazione oggetto javax.xml.crypto.dsig.XMLSignatureFactory che facilita la configurazione e la gestione della firma di elementi xml (funzionalità di calcolo digest e firma).</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Signature generation</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XMLSignatureFactory signFactory = XMLSignatureFactory.</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“DOM”</w:t>
      </w:r>
      <w:r>
        <w:rPr>
          <w:rFonts w:cs="Courier New" w:ascii="Courier New" w:hAnsi="Courier New"/>
          <w:color w:val="000000"/>
          <w:lang w:val="en-US"/>
        </w:rPr>
        <w:t xml:space="preserve">, </w:t>
      </w:r>
      <w:r>
        <w:rPr>
          <w:rFonts w:cs="Courier New" w:ascii="Courier New" w:hAnsi="Courier New"/>
          <w:b/>
          <w:bCs/>
          <w:color w:val="7F0055"/>
          <w:lang w:val="en-US"/>
        </w:rPr>
        <w:t>new</w:t>
      </w:r>
      <w:r>
        <w:rPr>
          <w:rFonts w:cs="Courier New" w:ascii="Courier New" w:hAnsi="Courier New"/>
          <w:color w:val="000000"/>
          <w:lang w:val="en-US"/>
        </w:rPr>
        <w:t xml:space="preserve"> org.jcp.xml.dsig.internal.dom.XMLDSigRI());</w:t>
      </w:r>
    </w:p>
    <w:p>
      <w:pPr>
        <w:pStyle w:val="Normal"/>
        <w:keepLines w:val="false"/>
        <w:spacing w:lineRule="auto" w:line="240" w:before="0" w:after="0"/>
        <w:ind w:left="0"/>
        <w:rPr>
          <w:sz w:val="24"/>
          <w:szCs w:val="24"/>
          <w:lang w:val="en-US"/>
        </w:rPr>
      </w:pPr>
      <w:r>
        <w:rPr>
          <w:sz w:val="24"/>
          <w:szCs w:val="24"/>
          <w:lang w:val="en-US"/>
        </w:rPr>
      </w:r>
    </w:p>
    <w:p>
      <w:pPr>
        <w:pStyle w:val="Normal"/>
        <w:rPr>
          <w:lang w:val="en-US"/>
        </w:rPr>
      </w:pPr>
      <w:r>
        <w:rPr>
          <w:lang w:val="en-US"/>
        </w:rPr>
        <w:t>Specifica del CanonicalizationMethod</w:t>
      </w:r>
    </w:p>
    <w:p>
      <w:pPr>
        <w:pStyle w:val="Normal"/>
        <w:keepLines w:val="false"/>
        <w:spacing w:lineRule="auto" w:line="240" w:beforeAutospacing="1" w:after="0"/>
        <w:ind w:firstLine="720"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C14NmethodParameterSpec spec1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javax.xml.crypto.dsig.CanonicalizationMethod c14nMethod = signFactory.newCanonicalizationMethod(CanonicalizationMethod.</w:t>
      </w:r>
      <w:r>
        <w:rPr>
          <w:rFonts w:cs="Courier New" w:ascii="Courier New" w:hAnsi="Courier New"/>
          <w:i/>
          <w:iCs/>
          <w:color w:val="0000C0"/>
          <w:lang w:val="en-US"/>
        </w:rPr>
        <w:t>EXCLUSIVE</w:t>
      </w:r>
      <w:r>
        <w:rPr>
          <w:rFonts w:cs="Courier New" w:ascii="Courier New" w:hAnsi="Courier New"/>
          <w:color w:val="000000"/>
          <w:lang w:val="en-US"/>
        </w:rPr>
        <w:t>, spec1);</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Specifica del DigestMethod</w:t>
      </w:r>
    </w:p>
    <w:p>
      <w:pPr>
        <w:pStyle w:val="Normal"/>
        <w:keepLines w:val="false"/>
        <w:spacing w:lineRule="auto" w:line="240" w:beforeAutospacing="1" w:after="0"/>
        <w:ind w:firstLine="720"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DigestMethod digestMethod = signFactory.newDigestMethod(DigestMethod.</w:t>
      </w:r>
      <w:r>
        <w:rPr>
          <w:rFonts w:cs="Courier New" w:ascii="Courier New" w:hAnsi="Courier New"/>
          <w:i/>
          <w:iCs/>
          <w:color w:val="0000C0"/>
          <w:lang w:val="en-US"/>
        </w:rPr>
        <w:t>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Specifica del SignMethod</w:t>
      </w:r>
    </w:p>
    <w:p>
      <w:pPr>
        <w:pStyle w:val="Normal"/>
        <w:keepLines w:val="false"/>
        <w:spacing w:lineRule="auto" w:line="240" w:beforeAutospacing="1" w:after="0"/>
        <w:ind w:left="1440"/>
        <w:rPr>
          <w:sz w:val="24"/>
          <w:szCs w:val="24"/>
          <w:lang w:val="en-US"/>
        </w:rPr>
      </w:pPr>
      <w:r>
        <w:rPr>
          <w:rFonts w:cs="Courier New" w:ascii="Courier New" w:hAnsi="Courier New"/>
          <w:color w:val="000000"/>
          <w:lang w:val="en-US"/>
        </w:rPr>
        <w:t>SignatureMethod signMethod = signFactory.newSignatureMethod(SignatureMethod.</w:t>
      </w:r>
      <w:r>
        <w:rPr>
          <w:rFonts w:cs="Courier New" w:ascii="Courier New" w:hAnsi="Courier New"/>
          <w:i/>
          <w:iCs/>
          <w:color w:val="0000C0"/>
          <w:lang w:val="en-US"/>
        </w:rPr>
        <w:t>RSA_SHA1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spacing w:before="0" w:after="0"/>
        <w:ind w:left="1571"/>
        <w:rPr>
          <w:lang w:val="en-US"/>
        </w:rPr>
      </w:pPr>
      <w:r>
        <w:rPr>
          <w:lang w:val="en-US"/>
        </w:rPr>
      </w:r>
    </w:p>
    <w:p>
      <w:pPr>
        <w:pStyle w:val="Normal"/>
        <w:keepLines w:val="false"/>
        <w:spacing w:lineRule="auto" w:line="240" w:beforeAutospacing="1" w:after="0"/>
        <w:ind w:left="720"/>
        <w:jc w:val="both"/>
        <w:rPr/>
      </w:pPr>
      <w:r>
        <w:rPr/>
        <w:t>Specifica dell’elemento Reference che specifica che la firma si effettua sull’elemento timestamp. Opzionalmente è possibile specificare ulteriori riferimenti.</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rPr>
      </w:pPr>
      <w:r>
        <w:rPr>
          <w:rFonts w:cs="Courier New" w:ascii="Courier New" w:hAnsi="Courier New"/>
          <w:color w:val="000000"/>
        </w:rPr>
        <w:t xml:space="preserve">TransformParameterSpec spec2 =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Transform transform = signFactory.newTransform(CanonicalizationMethod.</w:t>
      </w:r>
      <w:r>
        <w:rPr>
          <w:rFonts w:cs="Courier New" w:ascii="Courier New" w:hAnsi="Courier New"/>
          <w:i/>
          <w:iCs/>
          <w:color w:val="0000C0"/>
        </w:rPr>
        <w:t>EXCLUSIVE</w:t>
      </w:r>
      <w:r>
        <w:rPr>
          <w:rFonts w:cs="Courier New" w:ascii="Courier New" w:hAnsi="Courier New"/>
          <w:color w:val="000000"/>
        </w:rPr>
        <w:t>, spec2);</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List&lt;Transform&gt; transformList = Collections.</w:t>
      </w:r>
      <w:r>
        <w:rPr>
          <w:rFonts w:cs="Courier New" w:ascii="Courier New" w:hAnsi="Courier New"/>
          <w:i/>
          <w:iCs/>
          <w:color w:val="000000"/>
          <w:lang w:val="en-US"/>
        </w:rPr>
        <w:t>singletonList</w:t>
      </w:r>
      <w:r>
        <w:rPr>
          <w:rFonts w:cs="Courier New" w:ascii="Courier New" w:hAnsi="Courier New"/>
          <w:color w:val="000000"/>
          <w:lang w:val="en-US"/>
        </w:rPr>
        <w:t>(transform);</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List&lt;Reference&gt; referenceList = </w:t>
      </w:r>
      <w:r>
        <w:rPr>
          <w:rFonts w:cs="Courier New" w:ascii="Courier New" w:hAnsi="Courier New"/>
          <w:b/>
          <w:bCs/>
          <w:color w:val="7F0055"/>
          <w:lang w:val="en-US"/>
        </w:rPr>
        <w:t>new</w:t>
      </w:r>
      <w:r>
        <w:rPr>
          <w:rFonts w:cs="Courier New" w:ascii="Courier New" w:hAnsi="Courier New"/>
          <w:color w:val="000000"/>
          <w:lang w:val="en-US"/>
        </w:rPr>
        <w:t xml:space="preserve"> ArrayList&lt;Reference&gt;();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Reference reference2 = signFactory.newReference(</w:t>
      </w:r>
      <w:r>
        <w:rPr>
          <w:rFonts w:cs="Courier New" w:ascii="Courier New" w:hAnsi="Courier New"/>
          <w:color w:val="2A00FF"/>
          <w:lang w:val="en-US"/>
        </w:rPr>
        <w:t>“#timestamp”</w:t>
      </w:r>
      <w:r>
        <w:rPr>
          <w:rFonts w:cs="Courier New" w:ascii="Courier New" w:hAnsi="Courier New"/>
          <w:color w:val="000000"/>
          <w:lang w:val="en-US"/>
        </w:rPr>
        <w:t xml:space="preserve">, digestMethod, transformList, </w:t>
      </w:r>
      <w:r>
        <w:rPr>
          <w:rFonts w:cs="Courier New" w:ascii="Courier New" w:hAnsi="Courier New"/>
          <w:b/>
          <w:bCs/>
          <w:color w:val="7F0055"/>
          <w:lang w:val="en-US"/>
        </w:rPr>
        <w:t>null</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referenceList.add(reference2);</w:t>
      </w:r>
    </w:p>
    <w:p>
      <w:pPr>
        <w:pStyle w:val="Normal"/>
        <w:rPr>
          <w:lang w:val="en-US"/>
        </w:rPr>
      </w:pPr>
      <w:r>
        <w:rPr>
          <w:lang w:val="en-US"/>
        </w:rPr>
      </w:r>
    </w:p>
    <w:p>
      <w:pPr>
        <w:pStyle w:val="Normal"/>
        <w:rPr>
          <w:lang w:val="en-US"/>
        </w:rPr>
      </w:pPr>
      <w:r>
        <w:rPr>
          <w:lang w:val="en-US"/>
        </w:rPr>
        <w:t>Specifica dell’elemento SignedInfo</w:t>
      </w:r>
    </w:p>
    <w:p>
      <w:pPr>
        <w:pStyle w:val="Normal"/>
        <w:keepLines w:val="false"/>
        <w:spacing w:lineRule="auto" w:line="240" w:beforeAutospacing="1" w:after="0"/>
        <w:ind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SignedInfo signInfo = signFactory.newSignedInfo(c14nMethod, signMethod, referenceList);</w:t>
      </w:r>
    </w:p>
    <w:p>
      <w:pPr>
        <w:pStyle w:val="Normal"/>
        <w:keepLines w:val="false"/>
        <w:spacing w:lineRule="auto" w:line="240" w:beforeAutospacing="1" w:after="0"/>
        <w:ind w:left="0"/>
        <w:rPr>
          <w:sz w:val="24"/>
          <w:szCs w:val="24"/>
          <w:lang w:val="en-US"/>
        </w:rPr>
      </w:pPr>
      <w:r>
        <w:rPr>
          <w:sz w:val="24"/>
          <w:szCs w:val="24"/>
          <w:lang w:val="en-US"/>
        </w:rPr>
      </w:r>
    </w:p>
    <w:p>
      <w:pPr>
        <w:pStyle w:val="Normal"/>
        <w:keepLines w:val="false"/>
        <w:spacing w:lineRule="auto" w:line="240" w:beforeAutospacing="1" w:after="0"/>
        <w:ind w:left="720"/>
        <w:jc w:val="both"/>
        <w:rPr/>
      </w:pPr>
      <w:r>
        <w:rPr/>
        <w:t>Creazione elemento Signature come figlio di Security e generazione del digest e della firma con il certificato contenete chiave pubblica e privata fornito dal metodo getPrivateKey() sulla cui implementazione si rimanda in seguito.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DOMSignContext dsc = </w:t>
      </w:r>
      <w:r>
        <w:rPr>
          <w:rFonts w:cs="Courier New" w:ascii="Courier New" w:hAnsi="Courier New"/>
          <w:b/>
          <w:bCs/>
          <w:color w:val="7F0055"/>
          <w:lang w:val="en-US"/>
        </w:rPr>
        <w:t>new</w:t>
      </w:r>
      <w:r>
        <w:rPr>
          <w:rFonts w:cs="Courier New" w:ascii="Courier New" w:hAnsi="Courier New"/>
          <w:color w:val="000000"/>
          <w:lang w:val="en-US"/>
        </w:rPr>
        <w:t xml:space="preserve"> DOMSignContext(</w:t>
      </w:r>
      <w:r>
        <w:rPr>
          <w:rFonts w:cs="Courier New" w:ascii="Courier New" w:hAnsi="Courier New"/>
          <w:i/>
          <w:iCs/>
          <w:color w:val="000000"/>
          <w:lang w:val="en-US"/>
        </w:rPr>
        <w:t>getPrivateKey</w:t>
      </w:r>
      <w:r>
        <w:rPr>
          <w:rFonts w:cs="Courier New" w:ascii="Courier New" w:hAnsi="Courier New"/>
          <w:color w:val="000000"/>
          <w:lang w:val="en-US"/>
        </w:rPr>
        <w:t>(), securityElement);</w:t>
      </w:r>
    </w:p>
    <w:p>
      <w:pPr>
        <w:pStyle w:val="Normal"/>
        <w:keepLines w:val="false"/>
        <w:spacing w:lineRule="auto" w:line="240" w:before="0" w:after="0"/>
        <w:ind w:left="1440"/>
        <w:rPr>
          <w:sz w:val="24"/>
          <w:szCs w:val="24"/>
        </w:rPr>
      </w:pPr>
      <w:r>
        <w:rPr>
          <w:rFonts w:cs="Courier New" w:ascii="Courier New" w:hAnsi="Courier New"/>
          <w:color w:val="000000"/>
        </w:rPr>
        <w:t xml:space="preserve">XMLSignature signature = signFactory.newXMLSignature(signInfo,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signature.sign(dsc);</w:t>
      </w:r>
    </w:p>
    <w:p>
      <w:pPr>
        <w:pStyle w:val="Normal"/>
        <w:keepLines w:val="false"/>
        <w:spacing w:lineRule="auto" w:line="240" w:beforeAutospacing="1" w:after="0"/>
        <w:ind w:left="0"/>
        <w:rPr/>
      </w:pPr>
      <w:r>
        <w:rPr/>
      </w:r>
    </w:p>
    <w:p>
      <w:pPr>
        <w:pStyle w:val="Normal"/>
        <w:rPr/>
      </w:pPr>
      <w:r>
        <w:rPr/>
        <w:t>Creazione elemento KeyInfo come figlio di Signature.</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key info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signatureElement = (SOAPElement) securityElement.getLastChild();</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keyInfoElement = signatureElement.addChildElement(</w:t>
      </w:r>
      <w:r>
        <w:rPr>
          <w:rFonts w:cs="Courier New" w:ascii="Courier New" w:hAnsi="Courier New"/>
          <w:color w:val="2A00FF"/>
          <w:lang w:val="en-US"/>
        </w:rPr>
        <w:t>“KeyInfo”</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pPr>
      <w:r>
        <w:rPr/>
        <w:t>Creazione elemento SecurityTokenReference come figlio di KeyInfo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securityTokenReferenceElement = keyInfoElement.addChildElement(</w:t>
      </w:r>
      <w:r>
        <w:rPr>
          <w:rFonts w:cs="Courier New" w:ascii="Courier New" w:hAnsi="Courier New"/>
          <w:color w:val="2A00FF"/>
          <w:lang w:val="en-US"/>
        </w:rPr>
        <w:t>“SecurityTokenReference”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Autospacing="1" w:after="0"/>
        <w:ind w:left="720"/>
        <w:jc w:val="both"/>
        <w:rPr/>
      </w:pPr>
      <w:r>
        <w:rPr/>
        <w:t>Creazione elemento Reference come figlio di SecurityTokenReference e set dell’attributo URI con il riferimento al certificato pubblico da usare per verificare la firma</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referenceElement = securityTokenReferenceElement.addChildElement(</w:t>
      </w:r>
      <w:r>
        <w:rPr>
          <w:rFonts w:cs="Courier New" w:ascii="Courier New" w:hAnsi="Courier New"/>
          <w:color w:val="2A00FF"/>
          <w:lang w:val="en-US"/>
        </w:rPr>
        <w:t>“Reference”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referenceElement.setAttribute(</w:t>
      </w:r>
      <w:r>
        <w:rPr>
          <w:rFonts w:cs="Courier New" w:ascii="Courier New" w:hAnsi="Courier New"/>
          <w:color w:val="2A00FF"/>
        </w:rPr>
        <w:t>“URI”</w:t>
      </w:r>
      <w:r>
        <w:rPr>
          <w:rFonts w:cs="Courier New" w:ascii="Courier New" w:hAnsi="Courier New"/>
          <w:color w:val="000000"/>
        </w:rPr>
        <w:t xml:space="preserve">, </w:t>
      </w:r>
      <w:r>
        <w:rPr>
          <w:rFonts w:cs="Courier New" w:ascii="Courier New" w:hAnsi="Courier New"/>
          <w:color w:val="2A00FF"/>
        </w:rPr>
        <w:t>“#cert”</w:t>
      </w:r>
      <w:r>
        <w:rPr>
          <w:rFonts w:cs="Courier New" w:ascii="Courier New" w:hAnsi="Courier New"/>
          <w:color w:val="000000"/>
        </w:rPr>
        <w:t>);</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t>referenceElement.setAttribute(</w:t>
      </w:r>
      <w:r>
        <w:rPr>
          <w:rFonts w:cs="Courier New" w:ascii="Courier New" w:hAnsi="Courier New"/>
          <w:color w:val="2A00FF"/>
        </w:rPr>
        <w:t>“ValueType”</w:t>
      </w:r>
      <w:r>
        <w:rPr>
          <w:rFonts w:cs="Courier New" w:ascii="Courier New" w:hAnsi="Courier New"/>
          <w:color w:val="000000"/>
        </w:rPr>
        <w:t>, ATTRIBUTENAME_X509TOKEN);</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720"/>
        <w:jc w:val="both"/>
        <w:rPr/>
      </w:pPr>
      <w:r>
        <w:rPr/>
        <w:t xml:space="preserve">Nelle linee di codice precedenti si è fatto uso del metodo getBase64X509(). </w:t>
      </w:r>
    </w:p>
    <w:p>
      <w:pPr>
        <w:pStyle w:val="Normal"/>
        <w:keepLines w:val="false"/>
        <w:spacing w:lineRule="auto" w:line="240" w:before="0" w:after="0"/>
        <w:ind w:left="720"/>
        <w:jc w:val="both"/>
        <w:rPr/>
      </w:pPr>
      <w:r>
        <w:rP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pPr>
        <w:pStyle w:val="Normal"/>
        <w:keepLines w:val="false"/>
        <w:spacing w:lineRule="auto" w:line="240" w:before="0" w:after="0"/>
        <w:ind w:left="72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ind w:left="72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publicstatic</w:t>
      </w:r>
      <w:r>
        <w:rPr>
          <w:rFonts w:cs="Courier New" w:ascii="Courier New" w:hAnsi="Courier New"/>
          <w:color w:themeColor="text1" w:val="000000"/>
          <w:lang w:val="en-US"/>
        </w:rPr>
        <w:t xml:space="preserve"> String getBase64X509FromCard(){</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rPr>
      </w:pPr>
      <w:r>
        <w:rPr>
          <w:rFonts w:cs="Courier New" w:ascii="Courier New" w:hAnsi="Courier New"/>
          <w:color w:val="000000"/>
          <w:lang w:val="en-US"/>
        </w:rPr>
        <w:tab/>
        <w:tab/>
        <w:tab/>
      </w:r>
      <w:r>
        <w:rPr>
          <w:rFonts w:cs="Courier New" w:ascii="Courier New" w:hAnsi="Courier New"/>
          <w:color w:val="000000"/>
        </w:rPr>
        <w:t>Certificate certificate = cac.getCertificate(SIGN_ALIAS);</w:t>
      </w:r>
    </w:p>
    <w:p>
      <w:pPr>
        <w:pStyle w:val="Normal"/>
        <w:keepLines w:val="false"/>
        <w:spacing w:lineRule="auto" w:line="240" w:before="0" w:after="0"/>
        <w:ind w:left="1440"/>
        <w:rPr>
          <w:rFonts w:ascii="Courier New" w:hAnsi="Courier New" w:cs="Courier New"/>
        </w:rPr>
      </w:pPr>
      <w:r>
        <w:rPr>
          <w:rFonts w:cs="Courier New" w:ascii="Courier New" w:hAnsi="Courier New"/>
          <w:color w:val="000000"/>
        </w:rPr>
        <w:tab/>
        <w:tab/>
      </w:r>
    </w:p>
    <w:p>
      <w:pPr>
        <w:pStyle w:val="Normal"/>
        <w:keepLines w:val="false"/>
        <w:spacing w:lineRule="auto" w:line="240" w:before="0" w:after="0"/>
        <w:ind w:left="1440"/>
        <w:rPr>
          <w:rFonts w:ascii="Courier New" w:hAnsi="Courier New" w:cs="Courier New"/>
        </w:rPr>
      </w:pPr>
      <w:r>
        <w:rPr>
          <w:rFonts w:cs="Courier New" w:ascii="Courier New" w:hAnsi="Courier New"/>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rPr>
        <w:tab/>
        <w:tab/>
        <w:tab/>
      </w:r>
      <w:r>
        <w:rPr>
          <w:rFonts w:cs="Courier New" w:ascii="Courier New" w:hAnsi="Courier New"/>
          <w:color w:val="000000"/>
          <w:lang w:val="en-US"/>
        </w:rPr>
        <w:t>String certificateEncoded = Base64.</w:t>
      </w:r>
      <w:r>
        <w:rPr>
          <w:rFonts w:cs="Courier New" w:ascii="Courier New" w:hAnsi="Courier New"/>
          <w:i/>
          <w:iCs/>
          <w:color w:val="000000"/>
          <w:lang w:val="en-US"/>
        </w:rPr>
        <w:t>encode</w:t>
      </w:r>
      <w:r>
        <w:rPr>
          <w:rFonts w:cs="Courier New" w:ascii="Courier New" w:hAnsi="Courier New"/>
          <w:color w:val="000000"/>
          <w:lang w:val="en-US"/>
        </w:rPr>
        <w:t>(certificate.getEncoded());</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r>
    </w:p>
    <w:p>
      <w:pPr>
        <w:pStyle w:val="Normal"/>
        <w:keepLines w:val="false"/>
        <w:spacing w:lineRule="auto" w:line="240" w:before="0" w:after="0"/>
        <w:ind w:left="1440"/>
        <w:rPr>
          <w:rFonts w:ascii="Courier New" w:hAnsi="Courier New" w:cs="Courier New"/>
        </w:rPr>
      </w:pPr>
      <w:r>
        <w:rPr>
          <w:rFonts w:cs="Courier New" w:ascii="Courier New" w:hAnsi="Courier New"/>
          <w:color w:val="000000"/>
          <w:lang w:val="en-US"/>
        </w:rPr>
        <w:tab/>
        <w:tab/>
        <w:tab/>
      </w:r>
      <w:r>
        <w:rPr>
          <w:rFonts w:cs="Courier New" w:ascii="Courier New" w:hAnsi="Courier New"/>
          <w:b/>
          <w:bCs/>
          <w:color w:val="7F0055"/>
        </w:rPr>
        <w:t>return</w:t>
      </w:r>
      <w:r>
        <w:rPr>
          <w:rFonts w:cs="Courier New" w:ascii="Courier New" w:hAnsi="Courier New"/>
          <w:color w:val="000000"/>
        </w:rPr>
        <w:t xml:space="preserve"> certificateEncoded;</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tab/>
        <w:tab/>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t>}</w:t>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jc w:val="both"/>
        <w:rPr>
          <w:color w:themeColor="text1" w:val="000000"/>
        </w:rPr>
      </w:pPr>
      <w:r>
        <w:rPr>
          <w:color w:themeColor="text1" w:val="000000"/>
        </w:rPr>
        <w:t>Nelle linee di codice precedenti per comporre l’header Ws-Security si è fatto uso del metodo getPrivateKey(). Questo metodo permette di ottenere la coppia chiave pubblica e privata identificato da un dato alias presente su una CNS.</w:t>
      </w:r>
    </w:p>
    <w:p>
      <w:pPr>
        <w:pStyle w:val="Normal"/>
        <w:keepLines w:val="false"/>
        <w:spacing w:lineRule="auto" w:line="240" w:before="0" w:after="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privatestatic</w:t>
      </w:r>
      <w:r>
        <w:rPr>
          <w:rFonts w:cs="Courier New" w:ascii="Courier New" w:hAnsi="Courier New"/>
          <w:color w:val="000000"/>
          <w:lang w:val="en-US"/>
        </w:rPr>
        <w:t xml:space="preserve"> PrivateKey getPrivateKeyFromCard() {</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PrivateKey privateKey = (PrivateKey) cac.getKey(SIGN_ALIAS,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r>
        <w:rPr>
          <w:rFonts w:cs="Courier New" w:ascii="Courier New" w:hAnsi="Courier New"/>
          <w:b/>
          <w:bCs/>
          <w:color w:val="7F0055"/>
          <w:lang w:val="en-US"/>
        </w:rPr>
        <w:t>return</w:t>
      </w:r>
      <w:r>
        <w:rPr>
          <w:rFonts w:cs="Courier New" w:ascii="Courier New" w:hAnsi="Courier New"/>
          <w:color w:val="000000"/>
          <w:lang w:val="en-US"/>
        </w:rPr>
        <w:t xml:space="preserve"> privateKey;</w:t>
      </w:r>
    </w:p>
    <w:p>
      <w:pPr>
        <w:pStyle w:val="Normal"/>
        <w:keepLines w:val="false"/>
        <w:spacing w:lineRule="auto" w:line="240" w:before="0" w:after="0"/>
        <w:rPr>
          <w:rFonts w:ascii="Courier New" w:hAnsi="Courier New" w:cs="Courier New"/>
        </w:rPr>
      </w:pPr>
      <w:r>
        <w:rPr>
          <w:rFonts w:cs="Courier New" w:ascii="Courier New" w:hAnsi="Courier New"/>
          <w:color w:val="000000"/>
        </w:rPr>
        <w:t xml:space="preserve"> </w:t>
      </w:r>
      <w:r>
        <w:rPr>
          <w:rFonts w:cs="Courier New" w:ascii="Courier New" w:hAnsi="Courier New"/>
          <w:color w:val="000000"/>
        </w:rPr>
        <w:t>}</w:t>
      </w:r>
    </w:p>
    <w:p>
      <w:pPr>
        <w:pStyle w:val="Normal"/>
        <w:jc w:val="both"/>
        <w:rPr>
          <w:lang w:val="en-GB"/>
        </w:rPr>
      </w:pPr>
      <w:r>
        <w:rPr>
          <w:lang w:val="en-GB"/>
        </w:rPr>
      </w:r>
    </w:p>
    <w:p>
      <w:pPr>
        <w:pStyle w:val="Heading2"/>
        <w:rPr/>
      </w:pPr>
      <w:bookmarkStart w:id="47" w:name="_Toc173420502"/>
      <w:bookmarkStart w:id="48" w:name="_Toc438993498"/>
      <w:r>
        <w:rPr/>
        <w:t>Servizi esposti sulla PDD REGIONALE</w:t>
      </w:r>
      <w:bookmarkEnd w:id="47"/>
      <w:bookmarkEnd w:id="48"/>
    </w:p>
    <w:p>
      <w:pPr>
        <w:pStyle w:val="Normal"/>
        <w:jc w:val="both"/>
        <w:rPr/>
      </w:pPr>
      <w:r>
        <w:rPr/>
        <w:t>I servizi esposti sulla PDD Regionale sono resi disponibili a sistemi applicativi di altre regioni allo scopo di consentire l’interoperabilità regionale.</w:t>
      </w:r>
    </w:p>
    <w:p>
      <w:pPr>
        <w:pStyle w:val="Normal"/>
        <w:jc w:val="both"/>
        <w:rPr>
          <w:rFonts w:ascii="Arial" w:hAnsi="Arial" w:cs="Arial"/>
          <w:sz w:val="24"/>
          <w:szCs w:val="24"/>
        </w:rPr>
      </w:pPr>
      <w:r>
        <w:rPr/>
        <w:t>Attualmente il SIST non espone alcun servizio sulla PDD Regionale.</w:t>
      </w:r>
    </w:p>
    <w:p>
      <w:pPr>
        <w:pStyle w:val="Normal"/>
        <w:jc w:val="both"/>
        <w:rPr/>
      </w:pPr>
      <w:r>
        <w:rPr/>
      </w:r>
    </w:p>
    <w:p>
      <w:pPr>
        <w:pStyle w:val="Heading2"/>
        <w:rPr/>
      </w:pPr>
      <w:bookmarkStart w:id="49" w:name="_Toc173420503"/>
      <w:bookmarkStart w:id="50" w:name="_Toc438993499"/>
      <w:r>
        <w:rPr/>
        <w:t>Servizi interni al dominio Regione Puglia</w:t>
      </w:r>
      <w:bookmarkEnd w:id="49"/>
      <w:bookmarkEnd w:id="50"/>
    </w:p>
    <w:p>
      <w:pPr>
        <w:pStyle w:val="Normal"/>
        <w:ind w:left="0"/>
        <w:jc w:val="both"/>
        <w:rPr/>
      </w:pPr>
      <w:r>
        <w:rPr/>
        <w:t>I servizi interni sono resi disponibili ai soli sistemi informativi che si trovano nello stesso dominio della Regione Puglia.</w:t>
      </w:r>
    </w:p>
    <w:p>
      <w:pPr>
        <w:pStyle w:val="Normal"/>
        <w:ind w:left="0"/>
        <w:jc w:val="both"/>
        <w:rPr/>
      </w:pPr>
      <w:r>
        <w:rPr/>
        <w:t>La tecnologia utilizzata per l’implementazione è basata sul framework WSIT (Web Services Interoperability Technology) [Rif. 8]:</w:t>
      </w:r>
    </w:p>
    <w:p>
      <w:pPr>
        <w:pStyle w:val="Normal"/>
        <w:numPr>
          <w:ilvl w:val="0"/>
          <w:numId w:val="91"/>
        </w:numPr>
        <w:spacing w:lineRule="auto" w:line="240"/>
        <w:jc w:val="both"/>
        <w:rPr>
          <w:lang w:val="en-GB"/>
        </w:rPr>
      </w:pPr>
      <w:r>
        <w:rPr>
          <w:lang w:val="en-GB"/>
        </w:rPr>
        <w:t>OASIS WS-Security 1.0 and 1.1</w:t>
      </w:r>
    </w:p>
    <w:p>
      <w:pPr>
        <w:pStyle w:val="Normal"/>
        <w:numPr>
          <w:ilvl w:val="0"/>
          <w:numId w:val="91"/>
        </w:numPr>
        <w:spacing w:lineRule="auto" w:line="240"/>
        <w:jc w:val="both"/>
        <w:rPr>
          <w:lang w:val="en-GB"/>
        </w:rPr>
      </w:pPr>
      <w:r>
        <w:rPr>
          <w:lang w:val="en-GB"/>
        </w:rPr>
        <w:t>WS-Trust (Feb 2005)</w:t>
      </w:r>
    </w:p>
    <w:p>
      <w:pPr>
        <w:pStyle w:val="Normal"/>
        <w:numPr>
          <w:ilvl w:val="0"/>
          <w:numId w:val="91"/>
        </w:numPr>
        <w:spacing w:lineRule="auto" w:line="240"/>
        <w:jc w:val="both"/>
        <w:rPr>
          <w:lang w:val="en-GB"/>
        </w:rPr>
      </w:pPr>
      <w:r>
        <w:rPr>
          <w:lang w:val="en-GB"/>
        </w:rPr>
        <w:t>WS-Secure Conversation (Feb 2005)</w:t>
      </w:r>
    </w:p>
    <w:p>
      <w:pPr>
        <w:pStyle w:val="Normal"/>
        <w:numPr>
          <w:ilvl w:val="0"/>
          <w:numId w:val="91"/>
        </w:numPr>
        <w:spacing w:lineRule="auto" w:line="240"/>
        <w:jc w:val="both"/>
        <w:rPr>
          <w:lang w:val="en-GB"/>
        </w:rPr>
      </w:pPr>
      <w:r>
        <w:rPr>
          <w:lang w:val="en-GB"/>
        </w:rPr>
        <w:t>WS-Security Policy (Jul 2005)</w:t>
      </w:r>
    </w:p>
    <w:p>
      <w:pPr>
        <w:pStyle w:val="Normal"/>
        <w:numPr>
          <w:ilvl w:val="0"/>
          <w:numId w:val="91"/>
        </w:numPr>
        <w:spacing w:lineRule="auto" w:line="240"/>
        <w:jc w:val="both"/>
        <w:rPr>
          <w:lang w:val="en-GB"/>
        </w:rPr>
      </w:pPr>
      <w:r>
        <w:rPr>
          <w:lang w:val="en-GB"/>
        </w:rPr>
        <w:t>WS-Reliable Messaging (Feb 2005)</w:t>
      </w:r>
    </w:p>
    <w:p>
      <w:pPr>
        <w:pStyle w:val="Normal"/>
        <w:numPr>
          <w:ilvl w:val="0"/>
          <w:numId w:val="91"/>
        </w:numPr>
        <w:spacing w:lineRule="auto" w:line="240"/>
        <w:jc w:val="both"/>
        <w:rPr>
          <w:lang w:val="en-GB"/>
        </w:rPr>
      </w:pPr>
      <w:r>
        <w:rPr>
          <w:lang w:val="en-GB"/>
        </w:rPr>
        <w:t>WS-Reliable Messaging Policy (Feb 2005)</w:t>
      </w:r>
    </w:p>
    <w:p>
      <w:pPr>
        <w:pStyle w:val="Normal"/>
        <w:numPr>
          <w:ilvl w:val="0"/>
          <w:numId w:val="91"/>
        </w:numPr>
        <w:spacing w:lineRule="auto" w:line="240"/>
        <w:jc w:val="both"/>
        <w:rPr>
          <w:lang w:val="en-GB"/>
        </w:rPr>
      </w:pPr>
      <w:r>
        <w:rPr>
          <w:lang w:val="en-GB"/>
        </w:rPr>
        <w:t>WS-Coordination (Aug 2005)</w:t>
      </w:r>
    </w:p>
    <w:p>
      <w:pPr>
        <w:pStyle w:val="Normal"/>
        <w:numPr>
          <w:ilvl w:val="0"/>
          <w:numId w:val="91"/>
        </w:numPr>
        <w:spacing w:lineRule="auto" w:line="240"/>
        <w:jc w:val="both"/>
        <w:rPr>
          <w:lang w:val="en-GB"/>
        </w:rPr>
      </w:pPr>
      <w:r>
        <w:rPr>
          <w:lang w:val="en-GB"/>
        </w:rPr>
        <w:t>WS-Atomic Transactions (Oct 2004)</w:t>
      </w:r>
    </w:p>
    <w:p>
      <w:pPr>
        <w:pStyle w:val="Normal"/>
        <w:numPr>
          <w:ilvl w:val="0"/>
          <w:numId w:val="91"/>
        </w:numPr>
        <w:spacing w:lineRule="auto" w:line="240"/>
        <w:jc w:val="both"/>
        <w:rPr>
          <w:lang w:val="en-GB"/>
        </w:rPr>
      </w:pPr>
      <w:r>
        <w:rPr>
          <w:lang w:val="en-GB"/>
        </w:rPr>
        <w:t>WS-Metadata Exchange (Oct 2004)</w:t>
      </w:r>
    </w:p>
    <w:p>
      <w:pPr>
        <w:pStyle w:val="Normal"/>
        <w:numPr>
          <w:ilvl w:val="0"/>
          <w:numId w:val="91"/>
        </w:numPr>
        <w:spacing w:lineRule="auto" w:line="240"/>
        <w:jc w:val="both"/>
        <w:rPr>
          <w:lang w:val="en-GB"/>
        </w:rPr>
      </w:pPr>
      <w:r>
        <w:rPr>
          <w:lang w:val="en-GB"/>
        </w:rPr>
        <w:t>WS-Policy (W3C Member Submission)</w:t>
      </w:r>
    </w:p>
    <w:p>
      <w:pPr>
        <w:pStyle w:val="Normal"/>
        <w:numPr>
          <w:ilvl w:val="0"/>
          <w:numId w:val="91"/>
        </w:numPr>
        <w:spacing w:lineRule="auto" w:line="240"/>
        <w:jc w:val="both"/>
        <w:rPr>
          <w:lang w:val="en-GB"/>
        </w:rPr>
      </w:pPr>
      <w:r>
        <w:rPr>
          <w:lang w:val="en-GB"/>
        </w:rPr>
        <w:t>WS-Policy Attachment (W3C Member Submission)</w:t>
      </w:r>
    </w:p>
    <w:p>
      <w:pPr>
        <w:pStyle w:val="Normal"/>
        <w:ind w:left="0"/>
        <w:rPr>
          <w:lang w:val="en-US"/>
        </w:rPr>
      </w:pPr>
      <w:r>
        <w:rPr>
          <w:lang w:val="en-US"/>
        </w:rPr>
      </w:r>
    </w:p>
    <w:p>
      <w:pPr>
        <w:pStyle w:val="Normal"/>
        <w:ind w:left="0"/>
        <w:jc w:val="both"/>
        <w:rPr/>
      </w:pPr>
      <w:r>
        <w:rPr/>
        <w:t>La tecnologia utilizzata per l’implementazione dei servizi interni è basata sul framework JAX-WS (Java API for XML Web Services).</w:t>
      </w:r>
    </w:p>
    <w:p>
      <w:pPr>
        <w:pStyle w:val="Heading3"/>
        <w:rPr/>
      </w:pPr>
      <w:bookmarkStart w:id="51" w:name="_Toc173420504"/>
      <w:bookmarkStart w:id="52" w:name="_Toc213052890"/>
      <w:bookmarkStart w:id="53" w:name="_Toc213052892"/>
      <w:bookmarkStart w:id="54" w:name="_Toc213052891"/>
      <w:bookmarkEnd w:id="52"/>
      <w:bookmarkEnd w:id="53"/>
      <w:bookmarkEnd w:id="54"/>
      <w:r>
        <w:rPr/>
        <w:t>WS-Security</w:t>
      </w:r>
      <w:bookmarkEnd w:id="51"/>
    </w:p>
    <w:p>
      <w:pPr>
        <w:pStyle w:val="Normal"/>
        <w:ind w:left="0"/>
        <w:jc w:val="both"/>
        <w:rPr/>
      </w:pPr>
      <w:r>
        <w:rP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pPr>
        <w:pStyle w:val="Normal"/>
        <w:ind w:left="0"/>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ind w:left="0"/>
        <w:jc w:val="both"/>
        <w:rPr/>
      </w:pPr>
      <w:r>
        <w:rPr/>
        <w:t>Nell’header del messaggio SOAP scambiato con PDDASL occorre specificare un elemento Security in cui inserire i seguenti elementi:</w:t>
      </w:r>
    </w:p>
    <w:p>
      <w:pPr>
        <w:pStyle w:val="Normal"/>
        <w:numPr>
          <w:ilvl w:val="0"/>
          <w:numId w:val="92"/>
        </w:numPr>
        <w:rPr/>
      </w:pPr>
      <w:r>
        <w:rPr/>
        <w:t xml:space="preserve">BinarySecurityToken: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r>
    </w:p>
    <w:p>
      <w:pPr>
        <w:pStyle w:val="Normal"/>
        <w:numPr>
          <w:ilvl w:val="0"/>
          <w:numId w:val="92"/>
        </w:numPr>
        <w:rPr/>
      </w:pPr>
      <w:r>
        <w:rPr/>
        <w:t>Timestamp:  elemento contenete data/ora di creazione messaggio (Created) e fine validità (Expires) in formato YYYY-MM-DDThh:mm:ssZ.</w:t>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br/>
      </w:r>
    </w:p>
    <w:p>
      <w:pPr>
        <w:pStyle w:val="Normal"/>
        <w:numPr>
          <w:ilvl w:val="0"/>
          <w:numId w:val="92"/>
        </w:numPr>
        <w:rPr/>
      </w:pPr>
      <w:r>
        <w:rPr/>
        <w:t>Signature: elemento contenente dati e metadati sulla firma del messaggio:</w:t>
      </w:r>
    </w:p>
    <w:p>
      <w:pPr>
        <w:pStyle w:val="Normal"/>
        <w:numPr>
          <w:ilvl w:val="2"/>
          <w:numId w:val="92"/>
        </w:numPr>
        <w:spacing w:lineRule="auto" w:line="240" w:before="0" w:after="0"/>
        <w:rPr/>
      </w:pPr>
      <w:r>
        <w:rPr/>
        <w:t xml:space="preserve">CanonicalizationMethod: algoritmo usato per rimuovere eventuali spazi e formattazioni nel messaggio SOAP prima di applicare l’algoritmo di digest. </w:t>
      </w:r>
    </w:p>
    <w:p>
      <w:pPr>
        <w:pStyle w:val="Normal"/>
        <w:numPr>
          <w:ilvl w:val="2"/>
          <w:numId w:val="92"/>
        </w:numPr>
        <w:spacing w:lineRule="auto" w:line="240" w:before="0" w:after="0"/>
        <w:rPr/>
      </w:pPr>
      <w:r>
        <w:rPr/>
        <w:t>SignatureMethod: algoritmo usato per firmare il digest.</w:t>
      </w:r>
    </w:p>
    <w:p>
      <w:pPr>
        <w:pStyle w:val="Normal"/>
        <w:numPr>
          <w:ilvl w:val="2"/>
          <w:numId w:val="92"/>
        </w:numPr>
        <w:spacing w:lineRule="auto" w:line="240" w:before="0" w:after="0"/>
        <w:rPr/>
      </w:pPr>
      <w:r>
        <w:rPr/>
        <w:t>Reference: riferimenti agli elementi firmati, in PDDASL si richiede almeno il timestamp.</w:t>
      </w:r>
    </w:p>
    <w:p>
      <w:pPr>
        <w:pStyle w:val="Normal"/>
        <w:numPr>
          <w:ilvl w:val="2"/>
          <w:numId w:val="92"/>
        </w:numPr>
        <w:spacing w:lineRule="auto" w:line="240" w:before="0" w:after="0"/>
        <w:rPr/>
      </w:pPr>
      <w:r>
        <w:rPr/>
        <w:t>DigestMethod: metodo utilizzato per calcolare il valore digest del messaggio</w:t>
      </w:r>
    </w:p>
    <w:p>
      <w:pPr>
        <w:pStyle w:val="Normal"/>
        <w:numPr>
          <w:ilvl w:val="2"/>
          <w:numId w:val="92"/>
        </w:numPr>
        <w:spacing w:lineRule="auto" w:line="240" w:before="0" w:after="0"/>
        <w:rPr/>
      </w:pPr>
      <w:r>
        <w:rPr/>
        <w:t>DigestValue: valore del digest calcolato applicando metodo di canonicalizzazione sugli elementi da firmare, algoritmo del digest e algoritmo di firma del digest.</w:t>
      </w:r>
    </w:p>
    <w:p>
      <w:pPr>
        <w:pStyle w:val="Normal"/>
        <w:numPr>
          <w:ilvl w:val="2"/>
          <w:numId w:val="92"/>
        </w:numPr>
        <w:spacing w:lineRule="auto" w:line="240" w:before="0" w:after="0"/>
        <w:rPr/>
      </w:pPr>
      <w:r>
        <w:rPr/>
        <w:t>SignatureValue: Valore della firma</w:t>
      </w:r>
    </w:p>
    <w:p>
      <w:pPr>
        <w:pStyle w:val="Normal"/>
        <w:numPr>
          <w:ilvl w:val="2"/>
          <w:numId w:val="92"/>
        </w:numPr>
        <w:spacing w:lineRule="auto" w:line="240" w:before="0" w:after="0"/>
        <w:rPr/>
      </w:pPr>
      <w:r>
        <w:rPr/>
        <w:t>SecurityTokenReference: riferimento al certificato pubblico da usare per verificare la firma del messaggio SOAP</w:t>
      </w:r>
    </w:p>
    <w:p>
      <w:pPr>
        <w:pStyle w:val="Normal"/>
        <w:ind w:left="0"/>
        <w:jc w:val="both"/>
        <w:rPr/>
      </w:pPr>
      <w:r>
        <w:rPr/>
        <w:t>Il messaggio SOAP di response è generato utilizzando gli stessi meccanismi della request.</w:t>
      </w:r>
    </w:p>
    <w:p>
      <w:pPr>
        <w:pStyle w:val="Normal"/>
        <w:keepLines w:val="false"/>
        <w:spacing w:lineRule="auto" w:line="240" w:before="0" w:after="0"/>
        <w:ind w:left="0"/>
        <w:rPr>
          <w:rStyle w:val="CarattereCarattere1"/>
        </w:rPr>
      </w:pPr>
      <w:r>
        <w:rPr/>
        <w:t>Per esempi, fare riferimento alla sezione dedicata ai servizi esposti sulla PDD-ASL.</w:t>
      </w:r>
    </w:p>
    <w:p>
      <w:pPr>
        <w:pStyle w:val="Normal"/>
        <w:keepLines w:val="false"/>
        <w:spacing w:lineRule="auto" w:line="240" w:before="0" w:after="0"/>
        <w:ind w:left="0"/>
        <w:rPr>
          <w:rStyle w:val="CarattereCarattere1"/>
        </w:rPr>
      </w:pPr>
      <w:r>
        <w:rPr/>
      </w:r>
    </w:p>
    <w:p>
      <w:pPr>
        <w:pStyle w:val="Heading1"/>
        <w:rPr>
          <w:rStyle w:val="CarattereCarattere1"/>
          <w:b w:val="false"/>
        </w:rPr>
      </w:pPr>
      <w:bookmarkStart w:id="55" w:name="_Toc438993500"/>
      <w:bookmarkStart w:id="56" w:name="_Toc173420505"/>
      <w:r>
        <w:rPr>
          <w:rStyle w:val="CarattereCarattere1"/>
          <w:b w:val="false"/>
        </w:rPr>
        <w:t>Endpoint di riferimento</w:t>
      </w:r>
      <w:bookmarkEnd w:id="55"/>
      <w:bookmarkEnd w:id="56"/>
    </w:p>
    <w:p>
      <w:pPr>
        <w:pStyle w:val="Heading2"/>
        <w:rPr>
          <w:rStyle w:val="CarattereCarattere1"/>
          <w:b w:val="false"/>
          <w:bCs/>
          <w:sz w:val="24"/>
          <w:szCs w:val="24"/>
        </w:rPr>
      </w:pPr>
      <w:bookmarkStart w:id="57" w:name="_Toc173420506"/>
      <w:bookmarkStart w:id="58" w:name="_Toc438993501"/>
      <w:r>
        <w:rPr>
          <w:rStyle w:val="CarattereCarattere1"/>
          <w:b w:val="false"/>
          <w:bCs/>
          <w:sz w:val="24"/>
          <w:szCs w:val="24"/>
        </w:rPr>
        <w:t>Endpoint PDD ASL</w:t>
      </w:r>
      <w:bookmarkEnd w:id="57"/>
      <w:bookmarkEnd w:id="58"/>
      <w:r>
        <w:rPr>
          <w:rStyle w:val="CarattereCarattere1"/>
          <w:b w:val="false"/>
          <w:bCs/>
          <w:sz w:val="24"/>
          <w:szCs w:val="24"/>
        </w:rPr>
        <w:tab/>
      </w:r>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WSDL sono esposti su 6 applicazioni web, una per ogni ASL, per cui il valore di &lt;siglaASL&gt; può assumere i valori: ‘ba’, ‘bt’, ‘br’, ‘le’, ‘fg’, ‘ta’.</w:t>
      </w:r>
    </w:p>
    <w:p>
      <w:pPr>
        <w:pStyle w:val="Normal"/>
        <w:spacing w:lineRule="auto" w:line="240" w:before="0" w:after="0"/>
        <w:ind w:left="900"/>
        <w:jc w:val="both"/>
        <w:rPr/>
      </w:pPr>
      <w:r>
        <w:rPr/>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eseguire i test di integrazione da parte dei software terzi </w:t>
      </w:r>
      <w:r>
        <w:rPr/>
        <w:t>e integrazioni sviluppate</w:t>
      </w:r>
      <w:r>
        <w:rPr/>
        <w:t xml:space="preserve">):  </w:t>
      </w:r>
      <w:r>
        <w:rPr>
          <w:b/>
        </w:rPr>
        <w:t>pddasl-preprod.sanita.regione.rsr.rupar.puglia.it</w:t>
      </w:r>
    </w:p>
    <w:p>
      <w:pPr>
        <w:pStyle w:val="Normal"/>
        <w:numPr>
          <w:ilvl w:val="1"/>
          <w:numId w:val="9"/>
        </w:numPr>
        <w:spacing w:lineRule="auto" w:line="240" w:before="0" w:after="0"/>
        <w:jc w:val="both"/>
        <w:rPr>
          <w:b/>
        </w:rPr>
      </w:pPr>
      <w:r>
        <w:rPr>
          <w:b/>
        </w:rPr>
        <w:t xml:space="preserve">ATTENZIONE: </w:t>
      </w:r>
      <w:r>
        <w:rPr>
          <w:b w:val="false"/>
          <w:bCs w:val="false"/>
        </w:rPr>
        <w:t>l’endpoint di collaudo prevede solo ASL aslba_test</w:t>
      </w:r>
    </w:p>
    <w:p>
      <w:pPr>
        <w:pStyle w:val="Normal"/>
        <w:numPr>
          <w:ilvl w:val="1"/>
          <w:numId w:val="9"/>
        </w:numPr>
        <w:spacing w:lineRule="auto" w:line="240" w:before="0" w:after="0"/>
        <w:jc w:val="both"/>
        <w:rPr>
          <w:b w:val="false"/>
          <w:bCs w:val="false"/>
        </w:rPr>
      </w:pPr>
      <w:r>
        <w:rPr>
          <w:b w:val="false"/>
          <w:bCs w:val="false"/>
        </w:rPr>
        <w:t>L'endpoint composto è:</w:t>
      </w:r>
    </w:p>
    <w:p>
      <w:pPr>
        <w:pStyle w:val="Normal"/>
        <w:numPr>
          <w:ilvl w:val="0"/>
          <w:numId w:val="0"/>
        </w:numPr>
        <w:spacing w:lineRule="auto" w:line="240" w:before="0" w:after="0"/>
        <w:ind w:hanging="0" w:left="2340"/>
        <w:jc w:val="both"/>
        <w:rPr>
          <w:b/>
        </w:rPr>
      </w:pPr>
      <w:r>
        <w:rPr>
          <w:b/>
        </w:rPr>
        <w:t>https://pddasl-preprod.sanita.regione.rsr.rupar.puglia.it:8181/aslba_test/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 xml:space="preserve">Ambiente di produzione per installare sulle postazioni in esercizio, studi medici, farmacie,  sistemi informativi aziendali ecc): </w:t>
        <w:br/>
      </w:r>
      <w:r>
        <w:rPr>
          <w:b/>
        </w:rPr>
        <w:t>pdd-virtasl.rmmg.rsr.rupar.puglia.it</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che segue sono riportati i servizi esposti sulla PDD ASL, funzionali esclusivamente alla integrazione al SAR (ai sensi del DPCM 26/03/2008, del DM 26 febbraio 2010 – Certificazioni di malattia, del DM 2/11/2011).</w:t>
      </w:r>
    </w:p>
    <w:p>
      <w:pPr>
        <w:pStyle w:val="Normal"/>
        <w:keepLines w:val="false"/>
        <w:spacing w:lineRule="auto" w:line="240" w:before="0" w:after="0"/>
        <w:ind w:left="900"/>
        <w:jc w:val="both"/>
        <w:rPr/>
      </w:pPr>
      <w:r>
        <w:rPr/>
      </w:r>
    </w:p>
    <w:tbl>
      <w:tblPr>
        <w:tblW w:w="8931"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6"/>
        <w:gridCol w:w="1557"/>
        <w:gridCol w:w="2695"/>
        <w:gridCol w:w="2692"/>
      </w:tblGrid>
      <w:tr>
        <w:trPr/>
        <w:tc>
          <w:tcPr>
            <w:tcW w:w="198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sz w:val="20"/>
                <w:lang w:val="en-US" w:eastAsia="it-IT"/>
              </w:rPr>
              <w:t>https://&lt;IP&gt;:8181/asl&lt;siglaASL&gt;/AAAService?wsdl</w:t>
            </w:r>
          </w:p>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color w:val="auto"/>
                <w:sz w:val="20"/>
                <w:u w:val="none"/>
                <w:lang w:val="en-US"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xsd/AAA.xsd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getRuoliStruttureOperatore</w:t>
            </w:r>
          </w:p>
          <w:p>
            <w:pPr>
              <w:pStyle w:val="Normal"/>
              <w:ind w:left="72"/>
              <w:rPr/>
            </w:pPr>
            <w:r>
              <w:rPr/>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/it/svimservice/pddasl/web/aaa/vo/package-summary.html</w:t>
            </w:r>
          </w:p>
          <w:p>
            <w:pPr>
              <w:pStyle w:val="Normal"/>
              <w:ind w:left="72"/>
              <w:rPr>
                <w:lang w:val="en-GB"/>
              </w:rPr>
            </w:pPr>
            <w:r>
              <w:rPr>
                <w:lang w:val="en-GB"/>
              </w:rPr>
              <w:t>/it/svimservice/pddasl/web/aaa/ws/package-summary.html</w:t>
            </w:r>
          </w:p>
          <w:p>
            <w:pPr>
              <w:pStyle w:val="Normal"/>
              <w:ind w:left="72"/>
              <w:rPr>
                <w:lang w:val="en-GB"/>
              </w:rPr>
            </w:pPr>
            <w:r>
              <w:rPr>
                <w:lang w:val="en-GB"/>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w:t>
            </w:r>
            <w:r>
              <w:rPr>
                <w:sz w:val="20"/>
                <w:lang w:val="en-GB" w:eastAsia="it-IT"/>
              </w:rPr>
              <w:t>AAGCService?wsdl</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xsd/AAGC.xsd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360"/>
              <w:rPr/>
            </w:pPr>
            <w:r>
              <w:rPr/>
              <w:t>getAssistibileInAnagrafe</w:t>
            </w:r>
          </w:p>
          <w:p>
            <w:pPr>
              <w:pStyle w:val="Normal"/>
              <w:ind w:left="360"/>
              <w:rPr/>
            </w:pPr>
            <w:r>
              <w:rPr/>
              <w:t>getAssistibili</w:t>
            </w:r>
          </w:p>
          <w:p>
            <w:pPr>
              <w:pStyle w:val="Normal"/>
              <w:ind w:left="360"/>
              <w:rPr/>
            </w:pPr>
            <w:r>
              <w:rPr/>
              <w:t>getListaAssistitiMedico</w:t>
            </w:r>
          </w:p>
          <w:p>
            <w:pPr>
              <w:pStyle w:val="Normal"/>
              <w:ind w:left="360"/>
              <w:rPr/>
            </w:pPr>
            <w:r>
              <w:rPr/>
              <w:t>getListaScelteRevoche</w:t>
            </w:r>
          </w:p>
          <w:p>
            <w:pPr>
              <w:pStyle w:val="Normal"/>
              <w:ind w:left="360"/>
              <w:rPr/>
            </w:pPr>
            <w:r>
              <w:rPr/>
              <w:t>getEsenzioniAttive</w:t>
            </w:r>
          </w:p>
          <w:p>
            <w:pPr>
              <w:pStyle w:val="Normal"/>
              <w:ind w:left="360"/>
              <w:rPr/>
            </w:pPr>
            <w:r>
              <w:rPr/>
              <w:t>getListaEsenti</w:t>
            </w:r>
          </w:p>
          <w:p>
            <w:pPr>
              <w:pStyle w:val="Normal"/>
              <w:snapToGrid w:val="false"/>
              <w:spacing w:before="120" w:after="120"/>
              <w:ind w:left="360"/>
              <w:rPr/>
            </w:pPr>
            <w:r>
              <w:rPr/>
              <w:t>setMovimentiLotto</w:t>
            </w:r>
          </w:p>
          <w:p>
            <w:pPr>
              <w:pStyle w:val="Normal"/>
              <w:snapToGrid w:val="false"/>
              <w:spacing w:before="120" w:after="120"/>
              <w:ind w:left="360"/>
              <w:rPr/>
            </w:pPr>
            <w:r>
              <w:rPr/>
              <w:t>updateMovimentiLotto</w:t>
            </w:r>
          </w:p>
          <w:p>
            <w:pPr>
              <w:pStyle w:val="Normal"/>
              <w:snapToGrid w:val="false"/>
              <w:spacing w:before="120" w:after="120"/>
              <w:ind w:left="360"/>
              <w:rPr/>
            </w:pPr>
            <w:r>
              <w:rPr/>
              <w:t>deleteMovimentiLotto</w:t>
            </w:r>
          </w:p>
          <w:p>
            <w:pPr>
              <w:pStyle w:val="Normal"/>
              <w:snapToGrid w:val="false"/>
              <w:spacing w:before="120" w:after="120"/>
              <w:ind w:left="360"/>
              <w:rPr/>
            </w:pPr>
            <w:r>
              <w:rPr/>
              <w:t>getMovimentoLotto</w:t>
            </w:r>
          </w:p>
          <w:p>
            <w:pPr>
              <w:pStyle w:val="Normal"/>
              <w:ind w:left="72"/>
              <w:rPr/>
            </w:pPr>
            <w:r>
              <w:rPr/>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/it/svimservice/pddasl/web/aagc/vo/package-summary.html</w:t>
            </w:r>
          </w:p>
          <w:p>
            <w:pPr>
              <w:pStyle w:val="Normal"/>
              <w:ind w:left="72"/>
              <w:rPr>
                <w:lang w:val="en-GB"/>
              </w:rPr>
            </w:pPr>
            <w:r>
              <w:rPr>
                <w:lang w:val="en-GB"/>
              </w:rPr>
              <w:t>/it/svimservice/pddasl/web/aagc/ws/package-summary.html</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https://&lt;IP&gt;:8181/asl&lt;siglaASL&gt;/CVP</w:t>
            </w:r>
            <w:hyperlink r:id="rId8">
              <w:r>
                <w:rPr>
                  <w:rStyle w:val="Hyperlink"/>
                  <w:color w:val="auto"/>
                  <w:sz w:val="20"/>
                  <w:u w:val="none"/>
                  <w:lang w:val="en-GB" w:eastAsia="it-IT"/>
                </w:rPr>
                <w:t>Service?wsdl</w:t>
              </w:r>
            </w:hyperlink>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getPrescrizioniIdentificate</w:t>
            </w:r>
          </w:p>
          <w:p>
            <w:pPr>
              <w:pStyle w:val="Normal"/>
              <w:ind w:left="72"/>
              <w:rPr/>
            </w:pPr>
            <w:r>
              <w:rPr/>
              <w:t>setAnnullaErogazioneFarm</w:t>
            </w:r>
          </w:p>
          <w:p>
            <w:pPr>
              <w:pStyle w:val="Normal"/>
              <w:ind w:left="72"/>
              <w:rPr/>
            </w:pPr>
            <w:r>
              <w:rPr/>
              <w:t>setAnnullaErogazioneSpec</w:t>
            </w:r>
          </w:p>
          <w:p>
            <w:pPr>
              <w:pStyle w:val="Normal"/>
              <w:ind w:left="72"/>
              <w:rPr/>
            </w:pPr>
            <w:r>
              <w:rPr/>
              <w:t>setAnnullaPrescrizione</w:t>
            </w:r>
          </w:p>
          <w:p>
            <w:pPr>
              <w:pStyle w:val="Normal"/>
              <w:ind w:left="72"/>
              <w:rPr/>
            </w:pPr>
            <w:r>
              <w:rPr/>
              <w:t>setCambioStatoPrescrizione</w:t>
            </w:r>
          </w:p>
          <w:p>
            <w:pPr>
              <w:pStyle w:val="Normal"/>
              <w:ind w:left="72"/>
              <w:rPr/>
            </w:pPr>
            <w:r>
              <w:rPr/>
              <w:t>setRegistraPrescrizione</w:t>
            </w:r>
          </w:p>
          <w:p>
            <w:pPr>
              <w:pStyle w:val="Normal"/>
              <w:ind w:left="72"/>
              <w:rPr/>
            </w:pPr>
            <w:r>
              <w:rPr/>
              <w:t>setRegistraErogazioneSpec</w:t>
            </w:r>
          </w:p>
          <w:p>
            <w:pPr>
              <w:pStyle w:val="Normal"/>
              <w:ind w:left="72"/>
              <w:rPr/>
            </w:pPr>
            <w:r>
              <w:rPr/>
              <w:t>setRegistraErogazioneFarm</w:t>
            </w:r>
          </w:p>
          <w:p>
            <w:pPr>
              <w:pStyle w:val="Normal"/>
              <w:ind w:left="72"/>
              <w:rPr/>
            </w:pPr>
            <w:r>
              <w:rPr/>
              <w:t>getPrescrizioneIdentificata</w:t>
            </w:r>
          </w:p>
          <w:p>
            <w:pPr>
              <w:pStyle w:val="Normal"/>
              <w:ind w:left="72"/>
              <w:rPr/>
            </w:pPr>
            <w:r>
              <w:rPr/>
              <w:t>getPrescrizioneFirmata</w:t>
            </w:r>
          </w:p>
          <w:p>
            <w:pPr>
              <w:pStyle w:val="Normal"/>
              <w:ind w:left="72"/>
              <w:rPr/>
            </w:pPr>
            <w:r>
              <w:rPr/>
              <w:t>chkPrescrizione</w:t>
            </w:r>
          </w:p>
          <w:p>
            <w:pPr>
              <w:pStyle w:val="Normal"/>
              <w:ind w:left="72"/>
              <w:rPr/>
            </w:pPr>
            <w:r>
              <w:rPr/>
              <w:t>setSospendiErogazioneRilasciaPrescrizione</w:t>
            </w:r>
          </w:p>
          <w:p>
            <w:pPr>
              <w:pStyle w:val="Normal"/>
              <w:ind w:left="72"/>
              <w:rPr>
                <w:lang w:val="en-US"/>
              </w:rPr>
            </w:pPr>
            <w:r>
              <w:rPr>
                <w:lang w:val="en-US"/>
              </w:rPr>
              <w:t>getReportErogatoMensile</w:t>
            </w:r>
          </w:p>
          <w:p>
            <w:pPr>
              <w:pStyle w:val="Normal"/>
              <w:ind w:left="72"/>
              <w:rPr>
                <w:lang w:val="en-US"/>
              </w:rPr>
            </w:pPr>
            <w:r>
              <w:rPr>
                <w:lang w:val="en-US"/>
              </w:rPr>
              <w:t>getScreeningExams</w:t>
            </w:r>
          </w:p>
          <w:p>
            <w:pPr>
              <w:pStyle w:val="Normal"/>
              <w:ind w:left="72"/>
              <w:rPr>
                <w:lang w:val="en-US"/>
              </w:rPr>
            </w:pPr>
            <w:r>
              <w:rPr>
                <w:lang w:val="en-US"/>
              </w:rPr>
              <w:t>prescriptionCheck</w:t>
            </w:r>
          </w:p>
          <w:p>
            <w:pPr>
              <w:pStyle w:val="Normal"/>
              <w:ind w:left="72"/>
              <w:rPr>
                <w:lang w:val="en-US"/>
              </w:rPr>
            </w:pPr>
            <w:r>
              <w:rPr>
                <w:lang w:val="en-US"/>
              </w:rPr>
              <w:t>getScreeningStatus</w:t>
            </w:r>
          </w:p>
          <w:p>
            <w:pPr>
              <w:pStyle w:val="Normal"/>
              <w:ind w:left="72"/>
              <w:rPr>
                <w:lang w:val="en-US"/>
              </w:rPr>
            </w:pPr>
            <w:r>
              <w:rPr>
                <w:lang w:val="en-US"/>
              </w:rPr>
              <w:t>getScreeningReport</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/it/svimservice/pddasl/web/cvp/vo/package-summary.html</w:t>
            </w:r>
          </w:p>
          <w:p>
            <w:pPr>
              <w:pStyle w:val="Normal"/>
              <w:ind w:left="72"/>
              <w:rPr>
                <w:lang w:val="en-GB"/>
              </w:rPr>
            </w:pPr>
            <w:r>
              <w:rPr>
                <w:lang w:val="en-GB"/>
              </w:rPr>
              <w:t>/it/svimservice/pddasl/web/cvp/ws/package-summary.html</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00B050"/>
                <w:sz w:val="20"/>
                <w:u w:val="none"/>
                <w:lang w:val="en-GB" w:eastAsia="it-IT"/>
              </w:rPr>
            </w:pPr>
            <w:r>
              <w:rPr>
                <w:color w:val="00B050"/>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 CVPNSSNService</w:t>
            </w:r>
            <w:hyperlink r:id="rId9">
              <w:r>
                <w:rPr>
                  <w:rStyle w:val="Hyperlink"/>
                  <w:color w:val="auto"/>
                  <w:sz w:val="20"/>
                  <w:u w:val="none"/>
                  <w:lang w:val="en-GB" w:eastAsia="it-IT"/>
                </w:rPr>
                <w:t>?wsdl</w:t>
              </w:r>
            </w:hyperlink>
          </w:p>
          <w:p>
            <w:pPr>
              <w:pStyle w:val="BodyText2"/>
              <w:rPr>
                <w:rStyle w:val="HTMLAcronym"/>
                <w:sz w:val="20"/>
                <w:lang w:val="en-GB" w:eastAsia="it-IT"/>
              </w:rPr>
            </w:pPr>
            <w:r>
              <w:rPr>
                <w:sz w:val="20"/>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xsd/CVPNSSN.xsd</w:t>
            </w:r>
          </w:p>
          <w:p>
            <w:pPr>
              <w:pStyle w:val="Normal"/>
              <w:ind w:left="72"/>
              <w:rPr>
                <w:rStyle w:val="Hyperlink"/>
                <w:color w:val="auto"/>
                <w:u w:val="none"/>
              </w:rPr>
            </w:pPr>
            <w:r>
              <w:rPr>
                <w:color w:val="auto"/>
                <w:u w:val="none"/>
              </w:rPr>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chkPrescrizioneNSSN</w:t>
            </w:r>
          </w:p>
          <w:p>
            <w:pPr>
              <w:pStyle w:val="Normal"/>
              <w:ind w:left="72"/>
              <w:rPr/>
            </w:pPr>
            <w:r>
              <w:rPr/>
              <w:t>getPrescrizioneIdentificataNSSN</w:t>
              <w:br/>
              <w:t>setAnnullaErogazioneFarmNSSN</w:t>
            </w:r>
          </w:p>
          <w:p>
            <w:pPr>
              <w:pStyle w:val="Normal"/>
              <w:ind w:left="72"/>
              <w:rPr/>
            </w:pPr>
            <w:r>
              <w:rPr/>
              <w:t>setAnnullaPrescrizioneNSSN</w:t>
            </w:r>
          </w:p>
          <w:p>
            <w:pPr>
              <w:pStyle w:val="Normal"/>
              <w:ind w:left="72"/>
              <w:rPr/>
            </w:pPr>
            <w:r>
              <w:rPr/>
              <w:t>setRegistraErogazioneFarmNSSN</w:t>
            </w:r>
          </w:p>
          <w:p>
            <w:pPr>
              <w:pStyle w:val="Normal"/>
              <w:ind w:left="72"/>
              <w:rPr/>
            </w:pPr>
            <w:r>
              <w:rPr/>
              <w:t>setRegistraPrescrizioneNSSNsetSospendiErogazioneNSSN</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/it/svimservice/pddasl/web/cvpnssn/vo/package-summary.html</w:t>
            </w:r>
          </w:p>
          <w:p>
            <w:pPr>
              <w:pStyle w:val="Normal"/>
              <w:ind w:left="72"/>
              <w:rPr>
                <w:lang w:val="en-GB"/>
              </w:rPr>
            </w:pPr>
            <w:r>
              <w:rPr>
                <w:lang w:val="en-GB"/>
              </w:rPr>
              <w:t>/it/svimservice/pddasl/web/cvpnssn/ws/package-summary.html</w:t>
            </w:r>
          </w:p>
          <w:p>
            <w:pPr>
              <w:pStyle w:val="Normal"/>
              <w:ind w:left="72"/>
              <w:rPr>
                <w:lang w:val="en-GB"/>
              </w:rPr>
            </w:pPr>
            <w:r>
              <w:rPr>
                <w:lang w:val="en-GB"/>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TMLAcronym"/>
                <w:sz w:val="20"/>
                <w:lang w:val="en-GB" w:eastAsia="it-IT"/>
              </w:rPr>
            </w:pPr>
            <w:r>
              <w:rPr>
                <w:sz w:val="20"/>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w:t>
            </w:r>
            <w:hyperlink r:id="rId10">
              <w:r>
                <w:rPr>
                  <w:rStyle w:val="Hyperlink"/>
                  <w:color w:val="auto"/>
                  <w:sz w:val="20"/>
                  <w:u w:val="none"/>
                  <w:lang w:val="en-GB" w:eastAsia="it-IT"/>
                </w:rPr>
                <w:t>CERTService?wsdl</w:t>
              </w:r>
            </w:hyperlink>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xsd/CERT.xsd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registrareCertificati</w:t>
            </w:r>
          </w:p>
          <w:p>
            <w:pPr>
              <w:pStyle w:val="Normal"/>
              <w:ind w:left="72"/>
              <w:rPr/>
            </w:pPr>
            <w:r>
              <w:rPr/>
              <w:t>annullareCertificato</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/it/svimservice/pddasl/web/cert/ws/package-summary.html</w:t>
            </w:r>
          </w:p>
          <w:p>
            <w:pPr>
              <w:pStyle w:val="Normal"/>
              <w:ind w:left="72"/>
              <w:rPr>
                <w:lang w:val="en-GB"/>
              </w:rPr>
            </w:pPr>
            <w:r>
              <w:rPr>
                <w:lang w:val="en-GB"/>
              </w:rPr>
            </w:r>
          </w:p>
        </w:tc>
      </w:tr>
    </w:tbl>
    <w:p>
      <w:pPr>
        <w:pStyle w:val="Normal"/>
        <w:rPr>
          <w:lang w:val="en-US"/>
        </w:rPr>
      </w:pPr>
      <w:r>
        <w:rPr>
          <w:lang w:val="en-US"/>
        </w:rPr>
      </w:r>
    </w:p>
    <w:p>
      <w:pPr>
        <w:pStyle w:val="Normal"/>
        <w:keepLines w:val="false"/>
        <w:spacing w:lineRule="auto" w:line="240" w:before="0" w:after="0"/>
        <w:ind w:left="900" w:right="1359"/>
        <w:rPr>
          <w:lang w:val="en-US"/>
        </w:rPr>
      </w:pPr>
      <w:r>
        <w:rPr>
          <w:lang w:val="en-US"/>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i servizi esposti sulla PDD ASL funzionali esclusivamente alla integrazione con la componente Fascicolo Sanitario Elettronico.</w:t>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930"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6"/>
        <w:gridCol w:w="1559"/>
        <w:gridCol w:w="2691"/>
        <w:gridCol w:w="2693"/>
      </w:tblGrid>
      <w:tr>
        <w:trPr/>
        <w:tc>
          <w:tcPr>
            <w:tcW w:w="198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rStyle w:val="Hyperlink"/>
                <w:color w:val="auto"/>
                <w:sz w:val="20"/>
                <w:u w:val="none"/>
                <w:lang w:val="en-US" w:eastAsia="it-IT"/>
              </w:rPr>
              <w:t>https://&lt;IP&gt;:8181/asl&lt;siglaASL&gt;/</w:t>
            </w:r>
            <w:r>
              <w:rPr>
                <w:sz w:val="20"/>
                <w:lang w:val="en-US" w:eastAsia="it-IT"/>
              </w:rPr>
              <w:t>IDocumentService?wsdl</w:t>
            </w:r>
          </w:p>
          <w:p>
            <w:pPr>
              <w:pStyle w:val="BodyText2"/>
              <w:rPr>
                <w:rStyle w:val="Hyperlink"/>
                <w:color w:val="auto"/>
                <w:sz w:val="20"/>
                <w:u w:val="none"/>
                <w:lang w:val="en-US" w:eastAsia="it-IT"/>
              </w:rPr>
            </w:pPr>
            <w:r>
              <w:rPr>
                <w:color w:val="auto"/>
                <w:sz w:val="20"/>
                <w:u w:val="none"/>
                <w:lang w:val="en-US" w:eastAsia="it-IT"/>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https://&lt;IP&gt;:8181/asl&lt;siglaASL&gt;/</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lang w:val="en-US"/>
              </w:rPr>
            </w:pPr>
            <w:r>
              <w:rPr/>
              <w:t>setDisclosure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900" w:right="1359"/>
        <w:rPr>
          <w:lang w:val="en-US"/>
        </w:rPr>
      </w:pPr>
      <w:r>
        <w:rPr>
          <w:lang w:val="en-US"/>
        </w:rPr>
      </w:r>
    </w:p>
    <w:p>
      <w:pPr>
        <w:pStyle w:val="Normal"/>
        <w:rPr/>
      </w:pPr>
      <w:r>
        <w:rPr/>
        <w:t>Per la gestione dei certificati di malattia a partire dal 01/01/2016 dovranno essere utilizzati i servizi riportati in tabella, disponibili sulla componente Fascicolo del SIST.</w:t>
      </w:r>
    </w:p>
    <w:p>
      <w:pPr>
        <w:pStyle w:val="Normal"/>
        <w:rPr/>
      </w:pPr>
      <w:r>
        <w:rPr/>
        <w:t xml:space="preserve">Per gli ambienti di pre-collaudo e collaudo l’unico endpoint disponibile per asl&lt;siglaASL&gt; è </w:t>
      </w:r>
      <w:r>
        <w:rPr>
          <w:i/>
        </w:rPr>
        <w:t>aslba</w:t>
      </w:r>
      <w:r>
        <w:rPr/>
        <w:t>.</w:t>
      </w:r>
    </w:p>
    <w:p>
      <w:pPr>
        <w:pStyle w:val="Normal"/>
        <w:keepLines w:val="false"/>
        <w:spacing w:lineRule="auto" w:line="240" w:before="0" w:after="0"/>
        <w:ind w:left="900"/>
        <w:rPr/>
      </w:pPr>
      <w:r>
        <w:rPr/>
      </w:r>
    </w:p>
    <w:p>
      <w:pPr>
        <w:pStyle w:val="Normal"/>
        <w:keepLines w:val="false"/>
        <w:spacing w:lineRule="auto" w:line="240" w:before="0" w:after="0"/>
        <w:ind w:left="90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3"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descr=""/>
                    <pic:cNvPicPr>
                      <a:picLocks noChangeAspect="1" noChangeArrowheads="1"/>
                    </pic:cNvPicPr>
                  </pic:nvPicPr>
                  <pic:blipFill>
                    <a:blip r:embed="rId11"/>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pddasl-preprod.sanita.regione.rsr.rupar.puglia.it.crt per l’ambiente di collaudo</w:t>
      </w:r>
    </w:p>
    <w:p>
      <w:pPr>
        <w:pStyle w:val="Normal"/>
        <w:keepLines w:val="false"/>
        <w:numPr>
          <w:ilvl w:val="0"/>
          <w:numId w:val="9"/>
        </w:numPr>
        <w:spacing w:lineRule="auto" w:line="240" w:before="0" w:after="0"/>
        <w:jc w:val="both"/>
        <w:rPr/>
      </w:pPr>
      <w:r>
        <w:rPr/>
        <w:t>file pdd-virtasl.rmmg.rsr.rupar.puglia.it.crt per l’ambiente di produzione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r>
    </w:p>
    <w:p>
      <w:pPr>
        <w:pStyle w:val="Normal"/>
        <w:keepLines w:val="false"/>
        <w:spacing w:lineRule="auto" w:line="240"/>
        <w:ind w:left="902"/>
        <w:jc w:val="both"/>
        <w:rPr>
          <w:rStyle w:val="CarattereCarattere1"/>
          <w:bCs/>
          <w:sz w:val="24"/>
          <w:szCs w:val="24"/>
        </w:rPr>
      </w:pPr>
      <w:r>
        <w:rPr>
          <w:bCs/>
          <w:sz w:val="24"/>
          <w:szCs w:val="24"/>
        </w:rPr>
      </w:r>
    </w:p>
    <w:p>
      <w:pPr>
        <w:pStyle w:val="Heading2"/>
        <w:rPr>
          <w:rStyle w:val="CarattereCarattere1"/>
          <w:b w:val="false"/>
          <w:bCs/>
          <w:sz w:val="24"/>
          <w:szCs w:val="24"/>
        </w:rPr>
      </w:pPr>
      <w:bookmarkStart w:id="59" w:name="_Toc173420507"/>
      <w:bookmarkStart w:id="60" w:name="_Toc438993502"/>
      <w:bookmarkEnd w:id="60"/>
      <w:r>
        <w:rPr>
          <w:rStyle w:val="CarattereCarattere1"/>
          <w:b w:val="false"/>
          <w:bCs/>
          <w:sz w:val="24"/>
          <w:szCs w:val="24"/>
        </w:rPr>
        <w:t>Endpoint PDD REGIONALE</w:t>
      </w:r>
      <w:bookmarkEnd w:id="59"/>
    </w:p>
    <w:p>
      <w:pPr>
        <w:pStyle w:val="Normal"/>
        <w:keepLines w:val="false"/>
        <w:spacing w:lineRule="auto" w:line="240"/>
        <w:ind w:left="902"/>
        <w:jc w:val="both"/>
        <w:rPr/>
      </w:pPr>
      <w:r>
        <w:rPr/>
        <w:t>Al momento i servizi non sono disponibili.</w:t>
      </w:r>
    </w:p>
    <w:p>
      <w:pPr>
        <w:pStyle w:val="Heading2"/>
        <w:rPr>
          <w:rStyle w:val="CarattereCarattere1"/>
          <w:b w:val="false"/>
          <w:bCs/>
          <w:sz w:val="24"/>
          <w:szCs w:val="24"/>
        </w:rPr>
      </w:pPr>
      <w:bookmarkStart w:id="61" w:name="_Toc173420508"/>
      <w:bookmarkStart w:id="62" w:name="_Toc438993503"/>
      <w:r>
        <w:rPr>
          <w:rStyle w:val="CarattereCarattere1"/>
          <w:b w:val="false"/>
          <w:bCs/>
          <w:sz w:val="24"/>
          <w:szCs w:val="24"/>
        </w:rPr>
        <w:t>Endpoint interni al dominio Regione Puglia</w:t>
      </w:r>
      <w:bookmarkEnd w:id="61"/>
      <w:bookmarkEnd w:id="62"/>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eseguire i test di integrazione da parte dei software terzi </w:t>
      </w:r>
      <w:r>
        <w:rPr/>
        <w:t>e integrazioni sviluppate</w:t>
      </w:r>
      <w:r>
        <w:rPr/>
        <w:t xml:space="preserve">):  </w:t>
      </w:r>
      <w:r>
        <w:rPr>
          <w:b/>
        </w:rPr>
        <w:t>pddasl-preprod.sanita.regione.rsr.rupar.puglia.it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Ambiente di produzione per installare sulle postazioni in esercizio:</w:t>
        <w:br/>
      </w:r>
      <w:r>
        <w:rPr>
          <w:b/>
        </w:rPr>
        <w:t>pdd-virtasl.rmmg.rsr.rupar.puglia.it</w:t>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rPr/>
      </w:pPr>
      <w:r>
        <w:rPr/>
        <w:t>Nella tabella seguente sono riportati i servizi funzionali esclusivamente alla integrazione con la componente Fascicolo Sanitario Elettronico.</w:t>
      </w:r>
    </w:p>
    <w:p>
      <w:pPr>
        <w:pStyle w:val="Normal"/>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505"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701"/>
        <w:gridCol w:w="2411"/>
        <w:gridCol w:w="2113"/>
        <w:gridCol w:w="2279"/>
      </w:tblGrid>
      <w:tr>
        <w:trPr/>
        <w:tc>
          <w:tcPr>
            <w:tcW w:w="170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https://&lt;IP&gt;:8181/regionepuglia /</w:t>
            </w:r>
            <w:r>
              <w:rPr>
                <w:sz w:val="20"/>
                <w:lang w:val="en-GB" w:eastAsia="it-IT"/>
              </w:rPr>
              <w:t>IDocumentService?wsdl</w:t>
            </w:r>
          </w:p>
          <w:p>
            <w:pPr>
              <w:pStyle w:val="BodyText2"/>
              <w:rPr>
                <w:rStyle w:val="Hyperlink"/>
                <w:color w:val="auto"/>
                <w:sz w:val="20"/>
                <w:u w:val="none"/>
                <w:lang w:val="en-GB" w:eastAsia="it-IT"/>
              </w:rPr>
            </w:pPr>
            <w:r>
              <w:rPr>
                <w:color w:val="auto"/>
                <w:sz w:val="20"/>
                <w:u w:val="none"/>
                <w:lang w:val="en-GB" w:eastAsia="it-IT"/>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w:t>
            </w:r>
            <w:r>
              <w:rPr>
                <w:rStyle w:val="Hyperlink"/>
                <w:color w:val="auto"/>
                <w:sz w:val="20"/>
                <w:u w:val="none"/>
                <w:lang w:val="en-GB" w:eastAsia="it-IT"/>
              </w:rPr>
              <w:t xml:space="preserve"> regionepuglia</w:t>
            </w:r>
            <w:r>
              <w:rPr>
                <w:rStyle w:val="Hyperlink"/>
                <w:color w:val="auto"/>
                <w:sz w:val="20"/>
                <w:u w:val="none"/>
                <w:lang w:val="it-IT" w:eastAsia="it-IT"/>
              </w:rPr>
              <w:t xml:space="preserve"> /</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pPr>
            <w:r>
              <w:rPr/>
              <w:t>setDisclosure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0" w:right="1359"/>
        <w:rPr>
          <w:lang w:val="en-US"/>
        </w:rPr>
      </w:pPr>
      <w:r>
        <w:rPr>
          <w:lang w:val="en-US"/>
        </w:rPr>
      </w:r>
    </w:p>
    <w:p>
      <w:pPr>
        <w:pStyle w:val="Normal"/>
        <w:keepLines w:val="false"/>
        <w:spacing w:lineRule="auto" w:line="240" w:before="0" w:after="0"/>
        <w:ind w:left="900" w:right="1359"/>
        <w:rPr>
          <w:lang w:val="en-US"/>
        </w:rPr>
      </w:pPr>
      <w:r>
        <w:rPr>
          <w:lang w:val="en-US"/>
        </w:rPr>
      </w:r>
    </w:p>
    <w:p>
      <w:pPr>
        <w:pStyle w:val="Normal"/>
        <w:keepLines w:val="false"/>
        <w:spacing w:lineRule="auto" w:line="240" w:before="0" w:after="0"/>
        <w:ind w:left="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12"/>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0"/>
        <w:jc w:val="both"/>
        <w:rPr/>
      </w:pPr>
      <w:r>
        <w:rP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pddasl-preprod.sanita.regione.rsr.rupar.puglia.it.crt per l’ambiente di collaudo</w:t>
      </w:r>
    </w:p>
    <w:p>
      <w:pPr>
        <w:pStyle w:val="Normal"/>
        <w:keepLines w:val="false"/>
        <w:numPr>
          <w:ilvl w:val="0"/>
          <w:numId w:val="9"/>
        </w:numPr>
        <w:spacing w:lineRule="auto" w:line="240" w:before="0" w:after="0"/>
        <w:jc w:val="both"/>
        <w:rPr/>
      </w:pPr>
      <w:r>
        <w:rPr/>
        <w:t>file pdd-virtasl.rmmg.rsr.rupar.puglia.it.crt per l’ambiente di produzione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br/>
      </w:r>
    </w:p>
    <w:p>
      <w:pPr>
        <w:pStyle w:val="Heading1"/>
        <w:rPr/>
      </w:pPr>
      <w:bookmarkStart w:id="63" w:name="_Toc173420509"/>
      <w:bookmarkStart w:id="64" w:name="_Toc438993504"/>
      <w:r>
        <w:rPr/>
        <w:t>Interfaccia Applicativa</w:t>
      </w:r>
      <w:bookmarkEnd w:id="63"/>
      <w:bookmarkEnd w:id="64"/>
    </w:p>
    <w:p>
      <w:pPr>
        <w:pStyle w:val="Normal"/>
        <w:keepLines w:val="false"/>
        <w:spacing w:lineRule="auto" w:line="240"/>
        <w:ind w:left="902"/>
        <w:jc w:val="both"/>
        <w:rPr/>
      </w:pPr>
      <w:r>
        <w:rPr/>
        <w:t>Per la definizione dell’interfaccia applicativa, non essendo stati usati tipi di dato che violano i data contracts predefiniti, si forniscono in allegato:</w:t>
      </w:r>
    </w:p>
    <w:p>
      <w:pPr>
        <w:pStyle w:val="Normal"/>
        <w:keepLines w:val="false"/>
        <w:spacing w:lineRule="auto" w:line="240" w:before="0" w:after="0"/>
        <w:ind w:left="902"/>
        <w:jc w:val="both"/>
        <w:rPr/>
      </w:pPr>
      <w:r>
        <w:rPr/>
      </w:r>
    </w:p>
    <w:p>
      <w:pPr>
        <w:pStyle w:val="Normal"/>
        <w:keepLines w:val="false"/>
        <w:numPr>
          <w:ilvl w:val="0"/>
          <w:numId w:val="4"/>
        </w:numPr>
        <w:spacing w:lineRule="auto" w:line="240" w:before="0" w:after="0"/>
        <w:ind w:hanging="0" w:left="902"/>
        <w:jc w:val="both"/>
        <w:rPr/>
      </w:pPr>
      <w:r>
        <w:rPr>
          <w:b/>
        </w:rPr>
        <w:t xml:space="preserve">I Javadoc dei POJO </w:t>
      </w:r>
      <w:r>
        <w:rPr/>
        <w:t>che implementano i servizi.</w:t>
      </w:r>
    </w:p>
    <w:p>
      <w:pPr>
        <w:pStyle w:val="Normal"/>
        <w:spacing w:lineRule="auto" w:line="240"/>
        <w:ind w:left="902"/>
        <w:jc w:val="both"/>
        <w:rPr/>
      </w:pPr>
      <w:r>
        <w:rPr/>
      </w:r>
    </w:p>
    <w:p>
      <w:pPr>
        <w:pStyle w:val="Normal"/>
        <w:keepLines w:val="false"/>
        <w:numPr>
          <w:ilvl w:val="0"/>
          <w:numId w:val="4"/>
        </w:numPr>
        <w:spacing w:lineRule="auto" w:line="240" w:before="0" w:after="0"/>
        <w:ind w:hanging="0" w:left="902"/>
        <w:jc w:val="both"/>
        <w:rPr/>
      </w:pPr>
      <w:r>
        <w:rPr>
          <w:b/>
        </w:rPr>
        <w:t>I Javadoc dei ValueObject</w:t>
      </w:r>
      <w:r>
        <w:rP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pPr>
        <w:pStyle w:val="ListParagrap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 xml:space="preserve">Quando il dato applicativo o uno dei dati applicativi è costituito da un CDA rappresentato come stringa si deve far riferimento alla </w:t>
      </w:r>
      <w:r>
        <w:rPr>
          <w:b/>
        </w:rPr>
        <w:t xml:space="preserve">documentazione che descrive il CDA </w:t>
      </w:r>
      <w:r>
        <w:rPr/>
        <w:t>corrispondente alla tipologia in oggetto.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Le tabelle seguenti elencano i servizi che usano come dato applicativo un CDA e il CDA corrispondente.</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riportati gli endpoint funzionali esclusivamente alla integrazione al SAR (ai sensi del DPCM 26/03/2008, del DM 26 febbraio 2010 – Certificazioni di malattia, del DM 2/11/2011).</w:t>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1944"/>
        <w:gridCol w:w="3158"/>
        <w:gridCol w:w="2604"/>
      </w:tblGrid>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CVPService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getPrescrizioniIdentificate</w:t>
            </w:r>
          </w:p>
          <w:p>
            <w:pPr>
              <w:pStyle w:val="Normal"/>
              <w:ind w:left="252"/>
              <w:rPr/>
            </w:pPr>
            <w:r>
              <w:rPr/>
              <w:t>setRegistraPrescrizione</w:t>
            </w:r>
          </w:p>
          <w:p>
            <w:pPr>
              <w:pStyle w:val="Normal"/>
              <w:ind w:left="252"/>
              <w:rPr/>
            </w:pPr>
            <w:r>
              <w:rPr/>
              <w:t>setRegistraErogazioneSpec</w:t>
            </w:r>
          </w:p>
          <w:p>
            <w:pPr>
              <w:pStyle w:val="Normal"/>
              <w:ind w:left="252"/>
              <w:rPr/>
            </w:pPr>
            <w:r>
              <w:rPr/>
              <w:t>setRegistraErogazioneFarm</w:t>
            </w:r>
          </w:p>
          <w:p>
            <w:pPr>
              <w:pStyle w:val="Normal"/>
              <w:ind w:left="252"/>
              <w:rPr/>
            </w:pPr>
            <w:r>
              <w:rPr/>
              <w:t>getPrescrizioneIdentificata</w:t>
            </w:r>
          </w:p>
          <w:p>
            <w:pPr>
              <w:pStyle w:val="Normal"/>
              <w:ind w:left="252"/>
              <w:rPr/>
            </w:pPr>
            <w:r>
              <w:rPr/>
              <w:t>getPrescrizioneFirmata</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Prescrizione [Rif. 4]</w:t>
            </w:r>
          </w:p>
          <w:p>
            <w:pPr>
              <w:pStyle w:val="Normal"/>
              <w:ind w:left="198"/>
              <w:rPr/>
            </w:pPr>
            <w:r>
              <w:rPr/>
              <w:t>CDA Prescrizione [Rif. 4]</w:t>
            </w:r>
          </w:p>
          <w:p>
            <w:pPr>
              <w:pStyle w:val="Normal"/>
              <w:ind w:left="198"/>
              <w:jc w:val="both"/>
              <w:rPr/>
            </w:pPr>
            <w:r>
              <w:rPr/>
              <w:t>CDA Erogazione [Rif. 3]</w:t>
            </w:r>
          </w:p>
          <w:p>
            <w:pPr>
              <w:pStyle w:val="Normal"/>
              <w:ind w:left="198"/>
              <w:rPr/>
            </w:pPr>
            <w:r>
              <w:rPr/>
              <w:t>CDA Erogazione [Rif. 3]</w:t>
            </w:r>
          </w:p>
          <w:p>
            <w:pPr>
              <w:pStyle w:val="Normal"/>
              <w:ind w:left="198"/>
              <w:rPr/>
            </w:pPr>
            <w:r>
              <w:rPr/>
              <w:t>CDA Prescrizione [Rif. 4]</w:t>
            </w:r>
          </w:p>
          <w:p>
            <w:pPr>
              <w:pStyle w:val="Normal"/>
              <w:ind w:left="198"/>
              <w:jc w:val="both"/>
              <w:rPr/>
            </w:pPr>
            <w:r>
              <w:rPr/>
              <w:t>CDA Prescrizione [Rif. 4]</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color w:val="00B050"/>
              </w:rPr>
            </w:pPr>
            <w:r>
              <w:rPr/>
              <w:t>CVPNSSNService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br/>
              <w:t>setRegistraPrescrizioneNSSN</w:t>
            </w:r>
          </w:p>
          <w:p>
            <w:pPr>
              <w:pStyle w:val="Normal"/>
              <w:ind w:left="252"/>
              <w:rPr/>
            </w:pPr>
            <w:r>
              <w:rP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lang w:eastAsia="x-none"/>
              </w:rPr>
            </w:pPr>
            <w:r>
              <w:rPr>
                <w:lang w:eastAsia="x-none"/>
              </w:rPr>
              <w:t>CDA2_Prescrizione_NSSN [Rif. 19]</w:t>
            </w:r>
          </w:p>
          <w:p>
            <w:pPr>
              <w:pStyle w:val="Normal"/>
              <w:ind w:left="198"/>
              <w:rPr>
                <w:color w:val="FF0000"/>
              </w:rPr>
            </w:pPr>
            <w:r>
              <w:rPr>
                <w:lang w:eastAsia="x-none"/>
              </w:rPr>
              <w:t>CDA2_Erogazione_NSSN [Rif. 20]</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CERTService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registrareCertificati</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Certificato [Rif. 5]</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3158"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260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r>
    </w:tbl>
    <w:p>
      <w:pPr>
        <w:pStyle w:val="Normal"/>
        <w:keepLines w:val="false"/>
        <w:spacing w:lineRule="auto" w:line="240" w:before="0" w:after="0"/>
        <w:ind w:left="900"/>
        <w:jc w:val="both"/>
        <w:rPr/>
      </w:pPr>
      <w:r>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gli endpoint, funzionali esclusivamente alla integrazione con la componente Fascicolo Sanitario Elettronico.</w:t>
      </w:r>
    </w:p>
    <w:p>
      <w:pPr>
        <w:pStyle w:val="Normal"/>
        <w:keepLines w:val="false"/>
        <w:spacing w:lineRule="auto" w:line="240" w:before="0" w:after="0"/>
        <w:ind w:left="900" w:right="1359"/>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2139"/>
        <w:gridCol w:w="2096"/>
        <w:gridCol w:w="3471"/>
      </w:tblGrid>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IDocumentService</w:t>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u w:val="single"/>
              </w:rPr>
            </w:pPr>
            <w:r>
              <w:rPr/>
              <w:t>retrieveDocument</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jc w:val="both"/>
              <w:rPr>
                <w:lang w:val="en-US"/>
              </w:rPr>
            </w:pPr>
            <w:r>
              <w:rPr>
                <w:lang w:val="en-US"/>
              </w:rPr>
              <w:t>CDA Patient Summary o EDS [Rif. 18]</w:t>
            </w:r>
          </w:p>
          <w:p>
            <w:pPr>
              <w:pStyle w:val="Normal"/>
              <w:ind w:left="198"/>
              <w:rPr/>
            </w:pPr>
            <w:r>
              <w:rPr/>
              <w:t>CDA Referto [Rif. 16]</w:t>
            </w:r>
          </w:p>
          <w:p>
            <w:pPr>
              <w:pStyle w:val="Normal"/>
              <w:ind w:left="198"/>
              <w:rPr/>
            </w:pPr>
            <w:r>
              <w:rPr/>
              <w:t>CDA SDO [Rif. 17]</w:t>
            </w:r>
          </w:p>
          <w:p>
            <w:pPr>
              <w:pStyle w:val="Normal"/>
              <w:ind w:left="198"/>
              <w:rPr/>
            </w:pPr>
            <w:r>
              <w:rPr/>
              <w:t>CDA Certificato [Rif. 5]</w:t>
            </w:r>
          </w:p>
        </w:tc>
      </w:tr>
    </w:tbl>
    <w:p>
      <w:pPr>
        <w:pStyle w:val="Normal"/>
        <w:rPr/>
      </w:pPr>
      <w:r>
        <w:rPr/>
        <w:t>Per la gestione dei certificati di malattia a partire dal 01/01/2016 dovranno essere utilizzati i servizi riportati in tabella, disponibili sulla componente Fascicolo del SIST.</w:t>
      </w:r>
    </w:p>
    <w:p>
      <w:pPr>
        <w:pStyle w:val="Normal"/>
        <w:ind w:left="851" w:right="708"/>
        <w:jc w:val="both"/>
        <w:rPr/>
      </w:pPr>
      <w:r>
        <w:rPr/>
      </w:r>
    </w:p>
    <w:p>
      <w:pPr>
        <w:pStyle w:val="Heading1"/>
        <w:rPr/>
      </w:pPr>
      <w:bookmarkStart w:id="65" w:name="_Toc173420510"/>
      <w:bookmarkStart w:id="66" w:name="_Toc438993505"/>
      <w:r>
        <w:rPr/>
        <w:t>Interazione Client-Server per la componente FSE</w:t>
      </w:r>
      <w:bookmarkEnd w:id="65"/>
      <w:bookmarkEnd w:id="66"/>
    </w:p>
    <w:p>
      <w:pPr>
        <w:pStyle w:val="Normal"/>
        <w:jc w:val="both"/>
        <w:rPr/>
      </w:pPr>
      <w:r>
        <w:rPr/>
        <w:t xml:space="preserve">I messaggi SOAP inoltrati alla componente FSE del SIST devono contenere, nella intestazione del messaggio, delle asserzioni identificative, autorizzative e applicative secondo le specifiche SAML 2.0. </w:t>
      </w:r>
    </w:p>
    <w:p>
      <w:pPr>
        <w:pStyle w:val="Normal"/>
        <w:rPr/>
      </w:pPr>
      <w:r>
        <w:rPr/>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cs="Times New Roman" w:ascii="Times New Roman" w:hAnsi="Times New Roman"/>
          <w:sz w:val="20"/>
          <w:szCs w:val="20"/>
        </w:rPr>
        <w:t>saml:Assertion</w:t>
      </w:r>
      <w:r>
        <w:rPr>
          <w:rFonts w:ascii="Times New Roman" w:hAnsi="Times New Roman"/>
          <w:sz w:val="20"/>
          <w:szCs w:val="20"/>
        </w:rPr>
        <w:t xml:space="preserve"> il valore degli attributi </w:t>
      </w:r>
      <w:r>
        <w:rPr>
          <w:rStyle w:val="CodiceCarattere"/>
          <w:rFonts w:cs="Times New Roman" w:ascii="Times New Roman" w:hAnsi="Times New Roman"/>
          <w:sz w:val="20"/>
          <w:szCs w:val="20"/>
        </w:rPr>
        <w:t>ID</w:t>
      </w:r>
      <w:r>
        <w:rPr>
          <w:rFonts w:ascii="Times New Roman" w:hAnsi="Times New Roman"/>
          <w:sz w:val="20"/>
          <w:szCs w:val="20"/>
        </w:rPr>
        <w:t xml:space="preserve"> e </w:t>
      </w:r>
      <w:r>
        <w:rPr>
          <w:rStyle w:val="CodiceCarattere"/>
          <w:rFonts w:cs="Times New Roman" w:ascii="Times New Roman" w:hAnsi="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Normal"/>
        <w:jc w:val="both"/>
        <w:rPr/>
      </w:pPr>
      <w:r>
        <w:rPr/>
        <w:t xml:space="preserve">Per un elenco completo e dettagliato degli attributi presenti nelle asserzioni, confrontare il paragrafo </w:t>
      </w:r>
      <w:r>
        <w:rPr/>
        <w:fldChar w:fldCharType="begin"/>
      </w:r>
      <w:r>
        <w:rPr/>
        <w:instrText xml:space="preserve"> REF _Ref409695179 \r \r \h </w:instrText>
      </w:r>
      <w:r>
        <w:rPr/>
        <w:fldChar w:fldCharType="separate"/>
      </w:r>
      <w:r>
        <w:rPr/>
        <w:t>8.1</w:t>
      </w:r>
      <w:r>
        <w:rPr/>
        <w:fldChar w:fldCharType="end"/>
      </w:r>
      <w:r>
        <w:rPr/>
        <w:fldChar w:fldCharType="begin"/>
      </w:r>
      <w:r>
        <w:rPr/>
        <w:instrText xml:space="preserve"> REF _Ref409695142 \h </w:instrText>
      </w:r>
      <w:r>
        <w:rPr/>
        <w:fldChar w:fldCharType="separate"/>
      </w:r>
      <w:r>
        <w:rPr/>
        <w:t>Elenco degli attributi per le asserzioni</w:t>
      </w:r>
      <w:r>
        <w:rPr/>
        <w:fldChar w:fldCharType="end"/>
      </w:r>
    </w:p>
    <w:p>
      <w:pPr>
        <w:pStyle w:val="Normal"/>
        <w:ind w:left="0"/>
        <w:jc w:val="both"/>
        <w:rPr/>
      </w:pPr>
      <w:r>
        <w:rPr/>
        <w:t>Di seguito è riportato un esempio di messaggi SOAP diviso nelle distinte sezioni che lo compongono.</w:t>
      </w:r>
    </w:p>
    <w:p>
      <w:pPr>
        <w:pStyle w:val="Normal"/>
        <w:jc w:val="both"/>
        <w:rPr/>
      </w:pPr>
      <w:r>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”2014-07-14T10:00:02.589Z”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”2014-07-14T10:00:01.807Z”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”2014-07-14T11:00:01.807Z”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”2014-07-14T10:00:02.585Z”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saml:</w:t>
      </w:r>
      <w:r>
        <w:rPr>
          <w:rFonts w:cs="Courier New" w:ascii="Courier New" w:hAnsi="Courier New"/>
          <w:color w:val="7F0055"/>
          <w:sz w:val="14"/>
          <w:szCs w:val="14"/>
        </w:rPr>
        <w:t>Assertion&gt;</w:t>
      </w:r>
    </w:p>
    <w:p>
      <w:pPr>
        <w:pStyle w:val="Normal"/>
        <w:rPr>
          <w:rFonts w:ascii="Arial" w:hAnsi="Arial" w:cs="Arial"/>
          <w:i/>
          <w:i/>
          <w:sz w:val="16"/>
          <w:szCs w:val="16"/>
        </w:rPr>
      </w:pPr>
      <w:r>
        <w:rPr>
          <w:rFonts w:cs="Arial" w:ascii="Arial" w:hAnsi="Arial"/>
          <w:b/>
          <w:i/>
          <w:sz w:val="16"/>
          <w:szCs w:val="16"/>
        </w:rPr>
        <w:t>Figura 1:</w:t>
      </w:r>
      <w:r>
        <w:rPr>
          <w:rFonts w:cs="Arial" w:ascii="Arial" w:hAnsi="Arial"/>
          <w:i/>
          <w:sz w:val="16"/>
          <w:szCs w:val="16"/>
        </w:rPr>
        <w:t xml:space="preserve"> Esempio di Asserzione Identificativa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”Idocument”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”http://virtasl.rmmg.rsr.rupar.puglia.it:8181/FSE/IDocumentService”</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rPr>
          <w:rFonts w:ascii="Arial" w:hAnsi="Arial" w:cs="Arial"/>
          <w:i/>
          <w:i/>
          <w:sz w:val="16"/>
          <w:szCs w:val="16"/>
        </w:rPr>
      </w:pPr>
      <w:r>
        <w:rPr>
          <w:rFonts w:cs="Arial" w:ascii="Arial" w:hAnsi="Arial"/>
          <w:b/>
          <w:i/>
          <w:sz w:val="16"/>
          <w:szCs w:val="16"/>
        </w:rPr>
        <w:t>Figura 2:</w:t>
      </w:r>
      <w:r>
        <w:rPr>
          <w:rFonts w:cs="Arial" w:ascii="Arial" w:hAnsi="Arial"/>
          <w:i/>
          <w:sz w:val="16"/>
          <w:szCs w:val="16"/>
        </w:rPr>
        <w:t xml:space="preserve"> Esempio di Asserzione Autorizzativa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”2014-07-14T10:00:02.598Z”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”2014-07-14T11:00:02.598Z”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”2014-07-14T10:00:02.598Z”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appName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appVendor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appversion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nonce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applDigest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created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”urn:oasis:names:tc:xacml:1.0:resource:resource-id”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”urn:oasis:names:tc:xacml:1.0:action:action-id”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resourceAction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operatorId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”urn:oasis:names:tc:fse:1.0:subject:typeofcare”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typeOfCare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”urn:oasis:names:tc:xspa:1.0:subject:purposeofuse”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purposeOfUse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role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w:t>
      </w:r>
      <w:r>
        <w:rPr>
          <w:rFonts w:eastAsia="Times New Roman" w:cs="Courier New" w:ascii="Courier New" w:hAnsi="Courier New"/>
          <w:color w:val="7F0055"/>
          <w:sz w:val="14"/>
          <w:szCs w:val="14"/>
          <w:lang w:val="en-US"/>
        </w:rPr>
        <w:t xml:space="preserve"> </w:t>
      </w:r>
      <w:r>
        <w:rPr>
          <w:rFonts w:cs="Courier New" w:ascii="Courier New" w:hAnsi="Courier New"/>
          <w:color w:val="2A00FF"/>
          <w:sz w:val="14"/>
          <w:szCs w:val="14"/>
          <w:lang w:val="en-US"/>
        </w:rPr>
        <w:t xml:space="preserve">urn:oasis:names:tc:xspa:1.0:resource:patient:consent”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patientConsent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”urn:oasis:names:tc:xspa:1.0:resource:patient:hl7:confidentiality-code”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blindDocument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”urn:oasis:names:tc:xspa:1.0:environment:locality”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enviromentLocality</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rPr>
          <w:rFonts w:ascii="Arial" w:hAnsi="Arial" w:cs="Arial"/>
          <w:i/>
          <w:i/>
          <w:sz w:val="16"/>
          <w:szCs w:val="16"/>
        </w:rPr>
      </w:pPr>
      <w:r>
        <w:rPr>
          <w:rFonts w:cs="Arial" w:ascii="Arial" w:hAnsi="Arial"/>
          <w:b/>
          <w:i/>
          <w:sz w:val="16"/>
          <w:szCs w:val="16"/>
        </w:rPr>
        <w:t>Figura 3:</w:t>
      </w:r>
      <w:r>
        <w:rPr>
          <w:rFonts w:cs="Arial" w:ascii="Arial" w:hAnsi="Arial"/>
          <w:i/>
          <w:sz w:val="16"/>
          <w:szCs w:val="16"/>
        </w:rPr>
        <w:t xml:space="preserve"> Esempio di Asserzione Applicativa nell’ &lt;Header&gt; del messaggio SOAP</w:t>
      </w:r>
    </w:p>
    <w:p>
      <w:pPr>
        <w:pStyle w:val="Heading2"/>
        <w:rPr/>
      </w:pPr>
      <w:bookmarkStart w:id="67" w:name="_Ref409695179"/>
      <w:bookmarkStart w:id="68" w:name="_Toc438993506"/>
      <w:bookmarkStart w:id="69" w:name="_Ref408912910"/>
      <w:bookmarkStart w:id="70" w:name="_Ref409695142"/>
      <w:bookmarkStart w:id="71" w:name="_Toc173420511"/>
      <w:bookmarkStart w:id="72" w:name="_Ref408905111"/>
      <w:bookmarkStart w:id="73" w:name="_Toc408843907"/>
      <w:r>
        <w:rPr/>
        <w:t>Elenco degli attributi per le asserzioni</w:t>
      </w:r>
      <w:bookmarkEnd w:id="67"/>
      <w:bookmarkEnd w:id="68"/>
      <w:bookmarkEnd w:id="69"/>
      <w:bookmarkEnd w:id="70"/>
      <w:bookmarkEnd w:id="71"/>
      <w:bookmarkEnd w:id="72"/>
      <w:bookmarkEnd w:id="73"/>
    </w:p>
    <w:p>
      <w:pPr>
        <w:pStyle w:val="Normal"/>
        <w:ind w:left="0"/>
        <w:rPr/>
      </w:pPr>
      <w:r>
        <w:rPr/>
        <w:t>Di seguito sono dettagliati gli attributi per le asserzioni definite nelle chiamate al nuovo FSE. L’obbligatorietà dell’attributo viene specificata successivamente per ogni servizio.</w:t>
      </w:r>
    </w:p>
    <w:p>
      <w:pPr>
        <w:pStyle w:val="Normal"/>
        <w:rPr/>
      </w:pPr>
      <w:r>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pPr>
        <w:pStyle w:val="ListParagraph"/>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pPr>
        <w:pStyle w:val="ListParagraph"/>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pPr>
        <w:pStyle w:val="ListParagraph"/>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pPr>
        <w:pStyle w:val="ListParagraph"/>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FootnoteReference"/>
          <w:rFonts w:ascii="Times New Roman" w:hAnsi="Times New Roman"/>
          <w:sz w:val="20"/>
          <w:szCs w:val="20"/>
        </w:rPr>
        <w:footnoteReference w:id="3"/>
      </w:r>
      <w:r>
        <w:rPr>
          <w:rFonts w:ascii="Times New Roman" w:hAnsi="Times New Roman"/>
          <w:sz w:val="20"/>
          <w:szCs w:val="20"/>
        </w:rPr>
        <w:t xml:space="preserve">). </w:t>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environmentLocality:</w:t>
      </w:r>
      <w:r>
        <w:rPr>
          <w:rStyle w:val="CodiceCarattere"/>
          <w:rFonts w:cs="Times New Roman" w:ascii="Times New Roman" w:hAnsi="Times New Roman"/>
          <w:sz w:val="20"/>
          <w:szCs w:val="20"/>
        </w:rPr>
        <w:t xml:space="preserve"> luogo dal quale l’operatorId opera. </w:t>
      </w:r>
      <w:r>
        <w:rPr>
          <w:rStyle w:val="CodiceCarattere"/>
          <w:rFonts w:cs="Times New Roman" w:ascii="Times New Roman" w:hAnsi="Times New Roman"/>
          <w:sz w:val="20"/>
          <w:szCs w:val="20"/>
          <w:lang w:val="en-US"/>
        </w:rPr>
        <w:t xml:space="preserve">Codifica HSP.11 - HSP.11bis - STS.11 - RIA.11.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Fonts w:ascii="Times New Roman" w:hAnsi="Times New Roman"/>
          <w:sz w:val="20"/>
          <w:szCs w:val="20"/>
        </w:rPr>
      </w:pPr>
      <w:r>
        <w:rPr>
          <w:rStyle w:val="CodiceCarattere"/>
          <w:rFonts w:cs="Times New Roman" w:ascii="Times New Roman" w:hAnsi="Times New Roman"/>
          <w:b/>
          <w:sz w:val="20"/>
          <w:szCs w:val="20"/>
        </w:rPr>
        <w:t>organization:</w:t>
      </w:r>
      <w:r>
        <w:rPr>
          <w:rStyle w:val="CodiceCarattere"/>
          <w:rFonts w:cs="Times New Roman" w:ascii="Times New Roman" w:hAnsi="Times New Roman"/>
          <w:sz w:val="20"/>
          <w:szCs w:val="20"/>
        </w:rPr>
        <w:t xml:space="preserve">descrizione dell’azienda sanitaria o del dominio regionale presso cui l’operatore è in carico.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delruolo dell’operatore. </w:t>
      </w:r>
      <w:r>
        <w:rPr>
          <w:rFonts w:ascii="Times New Roman" w:hAnsi="Times New Roman"/>
          <w:i/>
          <w:sz w:val="20"/>
          <w:szCs w:val="20"/>
        </w:rPr>
        <w:t xml:space="preserve">Tipo di dato: </w:t>
      </w:r>
      <w:r>
        <w:rPr>
          <w:rStyle w:val="CodiceCarattere"/>
          <w:sz w:val="18"/>
          <w:szCs w:val="18"/>
        </w:rPr>
        <w:t>String</w:t>
      </w:r>
    </w:p>
    <w:p>
      <w:pPr>
        <w:pStyle w:val="Codice"/>
        <w:numPr>
          <w:ilvl w:val="1"/>
          <w:numId w:val="58"/>
        </w:numPr>
        <w:spacing w:lineRule="auto" w:line="240" w:before="0" w:after="0"/>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pPr>
        <w:pStyle w:val="Codice"/>
        <w:numPr>
          <w:ilvl w:val="1"/>
          <w:numId w:val="58"/>
        </w:numPr>
        <w:spacing w:lineRule="auto" w:line="240" w:before="0" w:after="0"/>
        <w:rPr>
          <w:b/>
          <w:sz w:val="18"/>
          <w:szCs w:val="18"/>
        </w:rPr>
      </w:pPr>
      <w:r>
        <w:rPr>
          <w:b/>
          <w:sz w:val="18"/>
          <w:szCs w:val="18"/>
        </w:rPr>
        <w:t>RIS000006</w:t>
      </w:r>
      <w:r>
        <w:rPr>
          <w:sz w:val="18"/>
          <w:szCs w:val="18"/>
        </w:rPr>
        <w:t xml:space="preserve"> = Portale della Salute</w:t>
      </w:r>
    </w:p>
    <w:p>
      <w:pPr>
        <w:pStyle w:val="Codice"/>
        <w:numPr>
          <w:ilvl w:val="1"/>
          <w:numId w:val="58"/>
        </w:numPr>
        <w:spacing w:lineRule="auto" w:line="240" w:before="0" w:after="0"/>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pPr>
        <w:pStyle w:val="Codice"/>
        <w:numPr>
          <w:ilvl w:val="1"/>
          <w:numId w:val="58"/>
        </w:numPr>
        <w:spacing w:lineRule="auto" w:line="240" w:before="0" w:after="0"/>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pPr>
        <w:pStyle w:val="Codice"/>
        <w:numPr>
          <w:ilvl w:val="1"/>
          <w:numId w:val="58"/>
        </w:numPr>
        <w:spacing w:lineRule="auto" w:line="240" w:before="0" w:after="0"/>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pPr>
        <w:pStyle w:val="Codice"/>
        <w:numPr>
          <w:ilvl w:val="1"/>
          <w:numId w:val="58"/>
        </w:numPr>
        <w:spacing w:lineRule="auto" w:line="240" w:before="0" w:after="0"/>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pPr>
        <w:pStyle w:val="Codice"/>
        <w:numPr>
          <w:ilvl w:val="1"/>
          <w:numId w:val="58"/>
        </w:numPr>
        <w:spacing w:lineRule="auto" w:line="240" w:before="0" w:after="0"/>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pPr>
        <w:pStyle w:val="Codice"/>
        <w:numPr>
          <w:ilvl w:val="1"/>
          <w:numId w:val="58"/>
        </w:numPr>
        <w:spacing w:lineRule="auto" w:line="240" w:before="0" w:after="0"/>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pPr>
        <w:pStyle w:val="Codice"/>
        <w:numPr>
          <w:ilvl w:val="1"/>
          <w:numId w:val="58"/>
        </w:numPr>
        <w:spacing w:lineRule="auto" w:line="240" w:before="0" w:after="0"/>
        <w:rPr>
          <w:sz w:val="18"/>
          <w:szCs w:val="18"/>
        </w:rPr>
      </w:pPr>
      <w:r>
        <w:rPr>
          <w:b/>
          <w:sz w:val="18"/>
          <w:szCs w:val="18"/>
        </w:rPr>
        <w:t xml:space="preserve">RIS000050 </w:t>
      </w:r>
      <w:r>
        <w:rPr>
          <w:sz w:val="18"/>
          <w:szCs w:val="18"/>
        </w:rPr>
        <w:t>= Sistema CUP</w:t>
      </w:r>
    </w:p>
    <w:p>
      <w:pPr>
        <w:pStyle w:val="ListParagraph"/>
        <w:rPr>
          <w:b/>
        </w:rPr>
      </w:pPr>
      <w:r>
        <w:rPr>
          <w:b/>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pPr>
        <w:pStyle w:val="Codice"/>
        <w:numPr>
          <w:ilvl w:val="1"/>
          <w:numId w:val="58"/>
        </w:numPr>
        <w:spacing w:lineRule="auto" w:line="240" w:before="0" w:after="0"/>
        <w:rPr>
          <w:sz w:val="18"/>
          <w:szCs w:val="18"/>
        </w:rPr>
      </w:pPr>
      <w:r>
        <w:rPr>
          <w:b/>
          <w:sz w:val="18"/>
          <w:szCs w:val="18"/>
        </w:rPr>
        <w:t>C</w:t>
      </w:r>
      <w:r>
        <w:rPr>
          <w:sz w:val="18"/>
          <w:szCs w:val="18"/>
        </w:rPr>
        <w:t xml:space="preserve"> = Cura</w:t>
      </w:r>
    </w:p>
    <w:p>
      <w:pPr>
        <w:pStyle w:val="Codice"/>
        <w:numPr>
          <w:ilvl w:val="1"/>
          <w:numId w:val="58"/>
        </w:numPr>
        <w:spacing w:lineRule="auto" w:line="240" w:before="0" w:after="0"/>
        <w:rPr>
          <w:sz w:val="18"/>
          <w:szCs w:val="18"/>
        </w:rPr>
      </w:pPr>
      <w:r>
        <w:rPr>
          <w:b/>
          <w:sz w:val="18"/>
          <w:szCs w:val="18"/>
        </w:rPr>
        <w:t>E</w:t>
      </w:r>
      <w:r>
        <w:rPr>
          <w:sz w:val="18"/>
          <w:szCs w:val="18"/>
        </w:rPr>
        <w:t xml:space="preserve"> = Emergenza</w:t>
      </w:r>
    </w:p>
    <w:p>
      <w:pPr>
        <w:pStyle w:val="Codice"/>
        <w:numPr>
          <w:ilvl w:val="1"/>
          <w:numId w:val="58"/>
        </w:numPr>
        <w:spacing w:lineRule="auto" w:line="240" w:before="0" w:after="0"/>
        <w:rPr>
          <w:sz w:val="18"/>
          <w:szCs w:val="18"/>
        </w:rPr>
      </w:pPr>
      <w:r>
        <w:rPr>
          <w:b/>
          <w:sz w:val="18"/>
          <w:szCs w:val="18"/>
        </w:rPr>
        <w:t>P</w:t>
      </w:r>
      <w:r>
        <w:rPr>
          <w:sz w:val="18"/>
          <w:szCs w:val="18"/>
        </w:rPr>
        <w:t xml:space="preserve"> = Personale</w:t>
      </w:r>
    </w:p>
    <w:p>
      <w:pPr>
        <w:pStyle w:val="Codice"/>
        <w:numPr>
          <w:ilvl w:val="1"/>
          <w:numId w:val="58"/>
        </w:numPr>
        <w:spacing w:lineRule="auto" w:line="240" w:before="0" w:after="0"/>
        <w:rPr>
          <w:sz w:val="18"/>
          <w:szCs w:val="18"/>
        </w:rPr>
      </w:pPr>
      <w:r>
        <w:rPr>
          <w:b/>
          <w:sz w:val="18"/>
          <w:szCs w:val="18"/>
        </w:rPr>
        <w:t>EPSS</w:t>
      </w:r>
      <w:r>
        <w:rPr>
          <w:sz w:val="18"/>
          <w:szCs w:val="18"/>
        </w:rPr>
        <w:t xml:space="preserve"> = Emergenza solo per documento PSS</w:t>
      </w:r>
    </w:p>
    <w:p>
      <w:pPr>
        <w:pStyle w:val="Codice"/>
        <w:spacing w:lineRule="auto" w:line="240" w:before="0" w:after="0"/>
        <w:ind w:left="1440"/>
        <w:rPr>
          <w:sz w:val="18"/>
          <w:szCs w:val="18"/>
        </w:rPr>
      </w:pPr>
      <w:r>
        <w:rPr>
          <w:sz w:val="18"/>
          <w:szCs w:val="18"/>
        </w:rPr>
      </w:r>
    </w:p>
    <w:p>
      <w:pPr>
        <w:pStyle w:val="Normal"/>
        <w:rPr/>
      </w:pPr>
      <w:r>
        <w:rPr/>
      </w:r>
    </w:p>
    <w:p>
      <w:pPr>
        <w:pStyle w:val="ListParagraph"/>
        <w:numPr>
          <w:ilvl w:val="0"/>
          <w:numId w:val="57"/>
        </w:numPr>
        <w:spacing w:lineRule="auto" w:line="240" w:before="0" w:after="0"/>
        <w:contextualSpacing/>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V</w:t>
      </w:r>
      <w:r>
        <w:rPr>
          <w:sz w:val="18"/>
          <w:szCs w:val="18"/>
        </w:rPr>
        <w:t xml:space="preserve"> = Visita MMG/PLS</w:t>
      </w:r>
    </w:p>
    <w:p>
      <w:pPr>
        <w:pStyle w:val="Codice"/>
        <w:numPr>
          <w:ilvl w:val="1"/>
          <w:numId w:val="58"/>
        </w:numPr>
        <w:spacing w:lineRule="auto" w:line="240" w:before="0" w:after="0"/>
        <w:rPr>
          <w:sz w:val="18"/>
          <w:szCs w:val="18"/>
        </w:rPr>
      </w:pPr>
      <w:r>
        <w:rPr>
          <w:b/>
          <w:sz w:val="18"/>
          <w:szCs w:val="18"/>
        </w:rPr>
        <w:t>R</w:t>
      </w:r>
      <w:r>
        <w:rPr>
          <w:sz w:val="18"/>
          <w:szCs w:val="18"/>
        </w:rPr>
        <w:t xml:space="preserve"> = Ricovero</w:t>
      </w:r>
    </w:p>
    <w:p>
      <w:pPr>
        <w:pStyle w:val="Codice"/>
        <w:numPr>
          <w:ilvl w:val="1"/>
          <w:numId w:val="58"/>
        </w:numPr>
        <w:spacing w:lineRule="auto" w:line="240" w:before="0" w:after="0"/>
        <w:rPr>
          <w:sz w:val="18"/>
          <w:szCs w:val="18"/>
        </w:rPr>
      </w:pPr>
      <w:r>
        <w:rPr>
          <w:b/>
          <w:sz w:val="18"/>
          <w:szCs w:val="18"/>
        </w:rPr>
        <w:t>PS</w:t>
      </w:r>
      <w:r>
        <w:rPr>
          <w:sz w:val="18"/>
          <w:szCs w:val="18"/>
        </w:rPr>
        <w:t xml:space="preserve"> = Pronto Soccorso</w:t>
      </w:r>
    </w:p>
    <w:p>
      <w:pPr>
        <w:pStyle w:val="Codice"/>
        <w:numPr>
          <w:ilvl w:val="1"/>
          <w:numId w:val="58"/>
        </w:numPr>
        <w:spacing w:lineRule="auto" w:line="240" w:before="0" w:after="0"/>
        <w:rPr>
          <w:sz w:val="18"/>
          <w:szCs w:val="18"/>
        </w:rPr>
      </w:pPr>
      <w:r>
        <w:rPr>
          <w:b/>
          <w:sz w:val="18"/>
          <w:szCs w:val="18"/>
        </w:rPr>
        <w:t>Spec</w:t>
      </w:r>
      <w:r>
        <w:rPr>
          <w:sz w:val="18"/>
          <w:szCs w:val="18"/>
        </w:rPr>
        <w:t xml:space="preserve"> = Visita Specialistica</w:t>
      </w:r>
    </w:p>
    <w:p>
      <w:pPr>
        <w:pStyle w:val="Codice"/>
        <w:numPr>
          <w:ilvl w:val="1"/>
          <w:numId w:val="58"/>
        </w:numPr>
        <w:spacing w:lineRule="auto" w:line="240" w:before="0" w:after="0"/>
        <w:rPr>
          <w:sz w:val="18"/>
          <w:szCs w:val="18"/>
        </w:rPr>
      </w:pPr>
      <w:r>
        <w:rPr>
          <w:b/>
          <w:sz w:val="18"/>
          <w:szCs w:val="18"/>
        </w:rPr>
        <w:t xml:space="preserve">Ref </w:t>
      </w:r>
      <w:r>
        <w:rPr>
          <w:sz w:val="18"/>
          <w:szCs w:val="18"/>
        </w:rPr>
        <w:t>= Refertazione</w:t>
      </w:r>
    </w:p>
    <w:p>
      <w:pPr>
        <w:pStyle w:val="Normal"/>
        <w:rPr/>
      </w:pPr>
      <w:r>
        <w:rPr/>
      </w:r>
    </w:p>
    <w:p>
      <w:pPr>
        <w:pStyle w:val="ListParagraph"/>
        <w:numPr>
          <w:ilvl w:val="0"/>
          <w:numId w:val="57"/>
        </w:numPr>
        <w:spacing w:lineRule="auto" w:line="240" w:before="0" w:after="0"/>
        <w:contextualSpacing/>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Codice"/>
        <w:numPr>
          <w:ilvl w:val="1"/>
          <w:numId w:val="58"/>
        </w:numPr>
        <w:spacing w:lineRule="auto" w:line="240" w:before="0" w:after="0"/>
        <w:rPr>
          <w:b/>
          <w:sz w:val="18"/>
          <w:szCs w:val="18"/>
        </w:rPr>
      </w:pPr>
      <w:r>
        <w:rPr>
          <w:b/>
          <w:sz w:val="18"/>
          <w:szCs w:val="18"/>
        </w:rPr>
        <w:t xml:space="preserve">57833-6 </w:t>
      </w:r>
      <w:r>
        <w:rPr>
          <w:sz w:val="18"/>
          <w:szCs w:val="18"/>
        </w:rPr>
        <w:t>= Prescrizione farmaceutica</w:t>
      </w:r>
    </w:p>
    <w:p>
      <w:pPr>
        <w:pStyle w:val="Codice"/>
        <w:numPr>
          <w:ilvl w:val="1"/>
          <w:numId w:val="58"/>
        </w:numPr>
        <w:spacing w:lineRule="auto" w:line="240" w:before="0" w:after="0"/>
        <w:rPr>
          <w:b/>
          <w:sz w:val="18"/>
          <w:szCs w:val="18"/>
        </w:rPr>
      </w:pPr>
      <w:r>
        <w:rPr>
          <w:b/>
          <w:sz w:val="18"/>
          <w:szCs w:val="18"/>
        </w:rPr>
        <w:t xml:space="preserve">57832-8 </w:t>
      </w:r>
      <w:r>
        <w:rPr>
          <w:sz w:val="18"/>
          <w:szCs w:val="18"/>
        </w:rPr>
        <w:t>= Prescrizione specialistica</w:t>
      </w:r>
    </w:p>
    <w:p>
      <w:pPr>
        <w:pStyle w:val="Codice"/>
        <w:numPr>
          <w:ilvl w:val="1"/>
          <w:numId w:val="58"/>
        </w:numPr>
        <w:spacing w:lineRule="auto" w:line="240" w:before="0" w:after="0"/>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pPr>
        <w:pStyle w:val="Codice"/>
        <w:numPr>
          <w:ilvl w:val="1"/>
          <w:numId w:val="58"/>
        </w:numPr>
        <w:spacing w:lineRule="auto" w:line="240" w:before="0" w:after="0"/>
        <w:rPr>
          <w:b/>
          <w:sz w:val="18"/>
          <w:szCs w:val="18"/>
        </w:rPr>
      </w:pPr>
      <w:r>
        <w:rPr>
          <w:b/>
          <w:sz w:val="18"/>
          <w:szCs w:val="18"/>
        </w:rPr>
        <w:t xml:space="preserve">29304-3 = </w:t>
      </w:r>
      <w:r>
        <w:rPr>
          <w:sz w:val="18"/>
          <w:szCs w:val="18"/>
        </w:rPr>
        <w:t>Erogato farmaceutico</w:t>
      </w:r>
    </w:p>
    <w:p>
      <w:pPr>
        <w:pStyle w:val="Codice"/>
        <w:numPr>
          <w:ilvl w:val="1"/>
          <w:numId w:val="58"/>
        </w:numPr>
        <w:spacing w:lineRule="auto" w:line="240" w:before="0" w:after="0"/>
        <w:rPr>
          <w:b/>
          <w:sz w:val="18"/>
          <w:szCs w:val="18"/>
        </w:rPr>
      </w:pPr>
      <w:r>
        <w:rPr>
          <w:b/>
          <w:sz w:val="18"/>
          <w:szCs w:val="18"/>
        </w:rPr>
        <w:t xml:space="preserve">34109-9 = </w:t>
      </w:r>
      <w:r>
        <w:rPr>
          <w:sz w:val="18"/>
          <w:szCs w:val="18"/>
        </w:rPr>
        <w:t>Erogato specialistico</w:t>
      </w:r>
    </w:p>
    <w:p>
      <w:pPr>
        <w:pStyle w:val="Codice"/>
        <w:numPr>
          <w:ilvl w:val="1"/>
          <w:numId w:val="58"/>
        </w:numPr>
        <w:spacing w:lineRule="auto" w:line="240" w:before="0" w:after="0"/>
        <w:rPr>
          <w:b/>
          <w:sz w:val="18"/>
          <w:szCs w:val="18"/>
        </w:rPr>
      </w:pPr>
      <w:r>
        <w:rPr>
          <w:b/>
          <w:sz w:val="18"/>
          <w:szCs w:val="18"/>
        </w:rPr>
        <w:t xml:space="preserve">28653-4 = </w:t>
      </w:r>
      <w:r>
        <w:rPr>
          <w:sz w:val="18"/>
          <w:szCs w:val="18"/>
        </w:rPr>
        <w:t>Certificato di malattia</w:t>
      </w:r>
    </w:p>
    <w:p>
      <w:pPr>
        <w:pStyle w:val="Codice"/>
        <w:numPr>
          <w:ilvl w:val="1"/>
          <w:numId w:val="58"/>
        </w:numPr>
        <w:spacing w:lineRule="auto" w:line="240" w:before="0" w:after="0"/>
        <w:rPr>
          <w:b/>
          <w:sz w:val="18"/>
          <w:szCs w:val="18"/>
        </w:rPr>
      </w:pPr>
      <w:r>
        <w:rPr>
          <w:b/>
          <w:sz w:val="18"/>
          <w:szCs w:val="18"/>
        </w:rPr>
        <w:t xml:space="preserve">18842-5 = </w:t>
      </w:r>
      <w:r>
        <w:rPr>
          <w:sz w:val="18"/>
          <w:szCs w:val="18"/>
        </w:rPr>
        <w:t>Scheda Dimissione Ospedaliera (SDO)</w:t>
      </w:r>
    </w:p>
    <w:p>
      <w:pPr>
        <w:pStyle w:val="Codice"/>
        <w:numPr>
          <w:ilvl w:val="1"/>
          <w:numId w:val="58"/>
        </w:numPr>
        <w:spacing w:lineRule="auto" w:line="240" w:before="0" w:after="0"/>
        <w:rPr>
          <w:b/>
          <w:sz w:val="18"/>
          <w:szCs w:val="18"/>
        </w:rPr>
      </w:pPr>
      <w:r>
        <w:rPr>
          <w:b/>
          <w:sz w:val="18"/>
          <w:szCs w:val="18"/>
        </w:rPr>
        <w:t xml:space="preserve">60591-5 = </w:t>
      </w:r>
      <w:r>
        <w:rPr>
          <w:sz w:val="18"/>
          <w:szCs w:val="18"/>
        </w:rPr>
        <w:t>Profilo Sanitario Sintetico (o Patient Summary)</w:t>
      </w:r>
    </w:p>
    <w:p>
      <w:pPr>
        <w:pStyle w:val="Codice"/>
        <w:numPr>
          <w:ilvl w:val="1"/>
          <w:numId w:val="58"/>
        </w:numPr>
        <w:spacing w:lineRule="auto" w:line="240" w:before="0" w:after="0"/>
        <w:rPr>
          <w:b/>
          <w:sz w:val="18"/>
          <w:szCs w:val="18"/>
        </w:rPr>
      </w:pPr>
      <w:r>
        <w:rPr>
          <w:b/>
          <w:sz w:val="18"/>
          <w:szCs w:val="18"/>
        </w:rPr>
        <w:t xml:space="preserve">34878-9 = </w:t>
      </w:r>
      <w:r>
        <w:rPr>
          <w:sz w:val="18"/>
          <w:szCs w:val="18"/>
        </w:rPr>
        <w:t>EDS (Emergency Data Set)</w:t>
      </w:r>
    </w:p>
    <w:p>
      <w:pPr>
        <w:pStyle w:val="Codice"/>
        <w:numPr>
          <w:ilvl w:val="1"/>
          <w:numId w:val="58"/>
        </w:numPr>
        <w:spacing w:lineRule="auto" w:line="240" w:before="0" w:after="0"/>
        <w:rPr>
          <w:b/>
          <w:sz w:val="18"/>
          <w:szCs w:val="18"/>
        </w:rPr>
      </w:pPr>
      <w:r>
        <w:rPr>
          <w:b/>
          <w:sz w:val="18"/>
          <w:szCs w:val="18"/>
        </w:rPr>
        <w:t xml:space="preserve">47045-0 = </w:t>
      </w:r>
      <w:r>
        <w:rPr>
          <w:sz w:val="18"/>
          <w:szCs w:val="18"/>
        </w:rPr>
        <w:t>Referto specialistico</w:t>
      </w:r>
    </w:p>
    <w:p>
      <w:pPr>
        <w:pStyle w:val="Codice"/>
        <w:numPr>
          <w:ilvl w:val="1"/>
          <w:numId w:val="58"/>
        </w:numPr>
        <w:spacing w:lineRule="auto" w:line="240" w:before="0" w:after="0"/>
        <w:rPr>
          <w:b/>
          <w:sz w:val="18"/>
          <w:szCs w:val="18"/>
        </w:rPr>
      </w:pPr>
      <w:r>
        <w:rPr>
          <w:b/>
          <w:sz w:val="18"/>
          <w:szCs w:val="18"/>
        </w:rPr>
        <w:t xml:space="preserve">11502-2 = </w:t>
      </w:r>
      <w:r>
        <w:rPr>
          <w:sz w:val="18"/>
          <w:szCs w:val="18"/>
        </w:rPr>
        <w:t>Referto di laboratorio</w:t>
      </w:r>
    </w:p>
    <w:p>
      <w:pPr>
        <w:pStyle w:val="Codice"/>
        <w:numPr>
          <w:ilvl w:val="1"/>
          <w:numId w:val="58"/>
        </w:numPr>
        <w:spacing w:lineRule="auto" w:line="240" w:before="0" w:after="0"/>
        <w:rPr>
          <w:sz w:val="18"/>
          <w:szCs w:val="18"/>
        </w:rPr>
      </w:pPr>
      <w:r>
        <w:rPr>
          <w:b/>
          <w:sz w:val="18"/>
          <w:szCs w:val="18"/>
        </w:rPr>
        <w:t>59258-4</w:t>
      </w:r>
      <w:r>
        <w:rPr>
          <w:sz w:val="18"/>
          <w:szCs w:val="18"/>
        </w:rPr>
        <w:t xml:space="preserve"> = Relazione di Pronto Soccorso</w:t>
      </w:r>
    </w:p>
    <w:p>
      <w:pPr>
        <w:pStyle w:val="Codice"/>
        <w:numPr>
          <w:ilvl w:val="1"/>
          <w:numId w:val="58"/>
        </w:numPr>
        <w:spacing w:lineRule="auto" w:line="240" w:before="0" w:after="0"/>
        <w:rPr>
          <w:sz w:val="18"/>
          <w:szCs w:val="18"/>
        </w:rPr>
      </w:pPr>
      <w:r>
        <w:rPr>
          <w:b/>
          <w:sz w:val="18"/>
          <w:szCs w:val="18"/>
        </w:rPr>
        <w:t>34105-7</w:t>
      </w:r>
      <w:r>
        <w:rPr>
          <w:sz w:val="18"/>
          <w:szCs w:val="18"/>
        </w:rPr>
        <w:t xml:space="preserve"> = Lettera di dimissione</w:t>
      </w:r>
    </w:p>
    <w:p>
      <w:pPr>
        <w:pStyle w:val="Codice"/>
        <w:numPr>
          <w:ilvl w:val="1"/>
          <w:numId w:val="58"/>
        </w:numPr>
        <w:spacing w:lineRule="auto" w:line="240" w:before="0" w:after="0"/>
        <w:rPr>
          <w:sz w:val="18"/>
          <w:szCs w:val="18"/>
        </w:rPr>
      </w:pPr>
      <w:r>
        <w:rPr>
          <w:b/>
          <w:bCs/>
          <w:sz w:val="18"/>
          <w:szCs w:val="18"/>
        </w:rPr>
        <w:t>11488-4</w:t>
      </w:r>
      <w:r>
        <w:rPr>
          <w:sz w:val="18"/>
          <w:szCs w:val="18"/>
          <w:lang w:val="it-IT"/>
        </w:rPr>
        <w:t xml:space="preserve"> = Referto Specialistico Ambulatoriale</w:t>
      </w:r>
    </w:p>
    <w:p>
      <w:pPr>
        <w:pStyle w:val="Codice"/>
        <w:numPr>
          <w:ilvl w:val="1"/>
          <w:numId w:val="58"/>
        </w:numPr>
        <w:spacing w:lineRule="auto" w:line="240" w:before="0" w:after="0"/>
        <w:rPr>
          <w:sz w:val="18"/>
          <w:szCs w:val="18"/>
        </w:rPr>
      </w:pPr>
      <w:r>
        <w:rPr>
          <w:b/>
          <w:bCs/>
          <w:sz w:val="18"/>
          <w:szCs w:val="18"/>
        </w:rPr>
        <w:t>78341-5</w:t>
      </w:r>
      <w:r>
        <w:rPr>
          <w:sz w:val="18"/>
          <w:szCs w:val="18"/>
          <w:lang w:val="it-IT"/>
        </w:rPr>
        <w:t xml:space="preserve"> = Scheda paziente 118</w:t>
      </w:r>
    </w:p>
    <w:p>
      <w:pPr>
        <w:pStyle w:val="Normal"/>
        <w:rPr/>
      </w:pPr>
      <w:r>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 xml:space="preserve">patientConsent: </w:t>
      </w:r>
      <w:r>
        <w:rPr>
          <w:rFonts w:ascii="Times New Roman" w:hAnsi="Times New Roman"/>
          <w:sz w:val="20"/>
          <w:szCs w:val="20"/>
        </w:rPr>
        <w:t xml:space="preserve">indicazione fornita dal paziente in merito all’eventuale richiesta di non alimentareil fascicolo con il documento. </w:t>
      </w:r>
      <w:r>
        <w:rPr>
          <w:rFonts w:ascii="Times New Roman" w:hAnsi="Times New Roman"/>
          <w:i/>
          <w:sz w:val="20"/>
          <w:szCs w:val="20"/>
        </w:rPr>
        <w:t>Tipo di dato:</w:t>
      </w:r>
      <w:r>
        <w:rPr>
          <w:rStyle w:val="CodiceCarattere"/>
          <w:sz w:val="18"/>
          <w:szCs w:val="18"/>
        </w:rPr>
        <w:t>Boolean</w:t>
      </w:r>
      <w:r>
        <w:rPr>
          <w:rStyle w:val="CodiceCarattere"/>
          <w:rFonts w:cs="Times New Roman" w:ascii="Times New Roman" w:hAnsi="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r>
        <w:rPr>
          <w:rStyle w:val="CodiceCarattere"/>
          <w:sz w:val="18"/>
          <w:szCs w:val="18"/>
        </w:rPr>
        <w:t>true</w:t>
      </w:r>
      <w:r>
        <w:rPr>
          <w:rFonts w:ascii="Times New Roman" w:hAnsi="Times New Roman"/>
          <w:sz w:val="20"/>
          <w:szCs w:val="20"/>
        </w:rPr>
        <w:t xml:space="preserve"> = alimenta (valore di default)</w:t>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 xml:space="preserve">true </w:t>
      </w:r>
      <w:r>
        <w:rPr>
          <w:sz w:val="18"/>
          <w:szCs w:val="18"/>
        </w:rPr>
        <w:t>(oscurato)</w:t>
      </w:r>
    </w:p>
    <w:p>
      <w:pPr>
        <w:pStyle w:val="Codice"/>
        <w:numPr>
          <w:ilvl w:val="1"/>
          <w:numId w:val="58"/>
        </w:numPr>
        <w:spacing w:lineRule="auto" w:line="240" w:before="0" w:after="0"/>
        <w:rPr>
          <w:sz w:val="18"/>
          <w:szCs w:val="18"/>
        </w:rPr>
      </w:pPr>
      <w:r>
        <w:rPr>
          <w:b/>
          <w:sz w:val="18"/>
          <w:szCs w:val="18"/>
        </w:rPr>
        <w:t>false</w:t>
      </w:r>
      <w:r>
        <w:rPr>
          <w:sz w:val="18"/>
          <w:szCs w:val="18"/>
        </w:rPr>
        <w:t xml:space="preserve"> (non oscurato)</w:t>
      </w:r>
    </w:p>
    <w:p>
      <w:pPr>
        <w:pStyle w:val="ListParagraph"/>
        <w:spacing w:lineRule="auto" w:line="240" w:before="0" w:after="0"/>
        <w:contextualSpacing/>
        <w:rPr>
          <w:rFonts w:ascii="Times New Roman" w:hAnsi="Times New Roman"/>
          <w:sz w:val="20"/>
          <w:szCs w:val="20"/>
        </w:rPr>
      </w:pPr>
      <w:r>
        <w:rPr>
          <w:rFonts w:ascii="Times New Roman" w:hAnsi="Times New Roman"/>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pPr>
        <w:pStyle w:val="Codice"/>
        <w:numPr>
          <w:ilvl w:val="1"/>
          <w:numId w:val="117"/>
        </w:numPr>
        <w:spacing w:lineRule="auto" w:line="240" w:before="0" w:after="0"/>
        <w:rPr>
          <w:sz w:val="18"/>
          <w:szCs w:val="18"/>
        </w:rPr>
      </w:pPr>
      <w:r>
        <w:rPr>
          <w:b/>
          <w:sz w:val="18"/>
          <w:szCs w:val="18"/>
        </w:rPr>
        <w:t xml:space="preserve">C </w:t>
      </w:r>
      <w:r>
        <w:rPr>
          <w:sz w:val="18"/>
          <w:szCs w:val="18"/>
        </w:rPr>
        <w:t>(inserimento)</w:t>
      </w:r>
    </w:p>
    <w:p>
      <w:pPr>
        <w:pStyle w:val="Codice"/>
        <w:numPr>
          <w:ilvl w:val="1"/>
          <w:numId w:val="117"/>
        </w:numPr>
        <w:spacing w:lineRule="auto" w:line="240" w:before="0" w:after="0"/>
        <w:rPr>
          <w:sz w:val="18"/>
          <w:szCs w:val="18"/>
        </w:rPr>
      </w:pPr>
      <w:r>
        <w:rPr>
          <w:b/>
          <w:sz w:val="18"/>
          <w:szCs w:val="18"/>
        </w:rPr>
        <w:t>R</w:t>
      </w:r>
      <w:r>
        <w:rPr>
          <w:sz w:val="18"/>
          <w:szCs w:val="18"/>
        </w:rPr>
        <w:t xml:space="preserve"> (lettura)</w:t>
      </w:r>
    </w:p>
    <w:p>
      <w:pPr>
        <w:pStyle w:val="Codice"/>
        <w:numPr>
          <w:ilvl w:val="1"/>
          <w:numId w:val="117"/>
        </w:numPr>
        <w:spacing w:lineRule="auto" w:line="240" w:before="0" w:after="0"/>
        <w:rPr>
          <w:sz w:val="18"/>
          <w:szCs w:val="18"/>
        </w:rPr>
      </w:pPr>
      <w:r>
        <w:rPr>
          <w:b/>
          <w:sz w:val="18"/>
          <w:szCs w:val="18"/>
        </w:rPr>
        <w:t>U</w:t>
      </w:r>
      <w:r>
        <w:rPr>
          <w:sz w:val="18"/>
          <w:szCs w:val="18"/>
        </w:rPr>
        <w:t xml:space="preserve"> (Aggiornamento)</w:t>
      </w:r>
    </w:p>
    <w:p>
      <w:pPr>
        <w:pStyle w:val="Codice"/>
        <w:numPr>
          <w:ilvl w:val="1"/>
          <w:numId w:val="117"/>
        </w:numPr>
        <w:spacing w:lineRule="auto" w:line="240" w:before="0" w:after="0"/>
        <w:rPr>
          <w:sz w:val="18"/>
          <w:szCs w:val="18"/>
        </w:rPr>
      </w:pPr>
      <w:r>
        <w:rPr>
          <w:b/>
          <w:sz w:val="18"/>
          <w:szCs w:val="18"/>
        </w:rPr>
        <w:t>D</w:t>
      </w:r>
      <w:r>
        <w:rPr>
          <w:sz w:val="18"/>
          <w:szCs w:val="18"/>
        </w:rPr>
        <w:t xml:space="preserve"> (Annullo)</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Cs/>
          <w:sz w:val="20"/>
          <w:szCs w:val="20"/>
        </w:rPr>
      </w:pPr>
      <w:r>
        <w:rPr>
          <w:rStyle w:val="CodiceCarattere"/>
          <w:rFonts w:cs="Times New Roman" w:ascii="Times New Roman" w:hAnsi="Times New Roman"/>
          <w:b/>
          <w:sz w:val="20"/>
          <w:szCs w:val="20"/>
        </w:rPr>
        <w:t xml:space="preserve">permission: </w:t>
      </w:r>
      <w:r>
        <w:rPr>
          <w:rStyle w:val="CodiceCarattere"/>
          <w:rFonts w:cs="Times New Roman" w:ascii="Times New Roman" w:hAnsi="Times New Roman"/>
          <w:bCs/>
          <w:sz w:val="20"/>
          <w:szCs w:val="20"/>
        </w:rPr>
        <w:t>indicazione del valore della delega. Tipo di dato String costituito da tre caratteri.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GEN (delega verso il genitore)</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TER (delega verso terzi)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TUT (delega verso tutore legale)</w:t>
      </w:r>
    </w:p>
    <w:p>
      <w:pPr>
        <w:pStyle w:val="ListParagraph"/>
        <w:spacing w:lineRule="auto" w:line="240" w:before="0" w:after="0"/>
        <w:ind w:left="1428"/>
        <w:contextualSpacing/>
        <w:rPr>
          <w:rStyle w:val="CodiceCarattere"/>
          <w:rFonts w:ascii="Times New Roman" w:hAnsi="Times New Roman" w:cs="Times New Roman"/>
          <w:bCs/>
          <w:sz w:val="20"/>
          <w:szCs w:val="20"/>
        </w:rPr>
      </w:pPr>
      <w:r>
        <w:rPr>
          <w:rFonts w:cs="Times New Roman" w:ascii="Times New Roman" w:hAnsi="Times New Roman"/>
          <w:bCs/>
          <w:sz w:val="20"/>
          <w:szCs w:val="20"/>
        </w:rPr>
      </w:r>
    </w:p>
    <w:p>
      <w:pPr>
        <w:pStyle w:val="ListParagraph"/>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In caso di presenza di permission GEN/TER/TUT:</w:t>
      </w:r>
    </w:p>
    <w:p>
      <w:pPr>
        <w:pStyle w:val="ListParagraph"/>
        <w:numPr>
          <w:ilvl w:val="0"/>
          <w:numId w:val="118"/>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il valore di operatorId e patientId deve coincidere con il delegato, rilevato come espresso al punto (7) e (12), mentre il codice fiscale dell’assistito delegante deve essere riportate nel body della request</w:t>
      </w:r>
    </w:p>
    <w:p>
      <w:pPr>
        <w:pStyle w:val="Codice"/>
        <w:spacing w:lineRule="auto" w:line="240" w:before="0" w:after="0"/>
        <w:ind w:left="720"/>
        <w:rPr>
          <w:sz w:val="18"/>
          <w:szCs w:val="18"/>
        </w:rPr>
      </w:pPr>
      <w:r>
        <w:rPr>
          <w:sz w:val="18"/>
          <w:szCs w:val="18"/>
        </w:rPr>
      </w:r>
    </w:p>
    <w:p>
      <w:pPr>
        <w:pStyle w:val="Codice"/>
        <w:spacing w:lineRule="auto" w:line="240" w:before="0" w:after="0"/>
        <w:ind w:left="720"/>
        <w:rPr>
          <w:sz w:val="18"/>
          <w:szCs w:val="18"/>
        </w:rPr>
      </w:pPr>
      <w:r>
        <w:rPr>
          <w:sz w:val="18"/>
          <w:szCs w:val="18"/>
        </w:rPr>
      </w:r>
    </w:p>
    <w:p>
      <w:pPr>
        <w:pStyle w:val="ListParagraph"/>
        <w:rPr>
          <w:b/>
        </w:rPr>
      </w:pPr>
      <w:r>
        <w:rPr>
          <w:b/>
        </w:rPr>
      </w:r>
    </w:p>
    <w:p>
      <w:pPr>
        <w:pStyle w:val="Heading2"/>
        <w:rPr/>
      </w:pPr>
      <w:bookmarkStart w:id="74" w:name="_Toc173420512"/>
      <w:bookmarkStart w:id="75" w:name="_Toc438993507"/>
      <w:bookmarkStart w:id="76" w:name="_Toc408843908"/>
      <w:r>
        <w:rPr/>
        <w:t>Nomenclatura SAML 2.0 delle Asserzioni Applicative</w:t>
      </w:r>
      <w:bookmarkEnd w:id="74"/>
      <w:bookmarkEnd w:id="75"/>
      <w:bookmarkEnd w:id="76"/>
    </w:p>
    <w:p>
      <w:pPr>
        <w:pStyle w:val="Normal"/>
        <w:rPr/>
      </w:pPr>
      <w:r>
        <w:rPr/>
      </w:r>
    </w:p>
    <w:tbl>
      <w:tblPr>
        <w:tblpPr w:vertAnchor="text" w:horzAnchor="margin" w:tblpXSpec="center" w:leftFromText="141" w:rightFromText="141" w:tblpY="137"/>
        <w:tblW w:w="808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75"/>
        <w:gridCol w:w="4396"/>
        <w:gridCol w:w="1310"/>
      </w:tblGrid>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120" w:after="120"/>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Tipo</w:t>
            </w:r>
          </w:p>
        </w:tc>
      </w:tr>
      <w:tr>
        <w:trPr>
          <w:trHeight w:val="57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applDigest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41"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patientConsent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bl>
    <w:p>
      <w:pPr>
        <w:pStyle w:val="Normal"/>
        <w:spacing w:lineRule="auto" w:line="240"/>
        <w:jc w:val="center"/>
        <w:rPr>
          <w:rFonts w:ascii="Arial" w:hAnsi="Arial" w:cs="Arial"/>
          <w:i/>
          <w:i/>
          <w:sz w:val="16"/>
          <w:szCs w:val="16"/>
        </w:rPr>
      </w:pPr>
      <w:r>
        <w:rPr>
          <w:rFonts w:cs="Arial" w:ascii="Arial" w:hAnsi="Arial"/>
          <w:b/>
          <w:i/>
          <w:sz w:val="16"/>
          <w:szCs w:val="16"/>
        </w:rPr>
        <w:t xml:space="preserve">Tabella 4 – </w:t>
      </w:r>
      <w:r>
        <w:rPr>
          <w:rFonts w:cs="Arial" w:ascii="Arial" w:hAnsi="Arial"/>
          <w:i/>
          <w:sz w:val="16"/>
          <w:szCs w:val="16"/>
        </w:rPr>
        <w:t>Tabella delle asserzioni divise per tipo, e per corrispondente urn</w:t>
      </w:r>
    </w:p>
    <w:p>
      <w:pPr>
        <w:pStyle w:val="Heading1"/>
        <w:rPr/>
      </w:pPr>
      <w:bookmarkStart w:id="77" w:name="_Toc173420513"/>
      <w:bookmarkStart w:id="78" w:name="_Toc438993508"/>
      <w:r>
        <w:rPr/>
        <w:t>Specifica dei Web Services della componente FSE</w:t>
      </w:r>
      <w:bookmarkEnd w:id="77"/>
      <w:bookmarkEnd w:id="78"/>
    </w:p>
    <w:p>
      <w:pPr>
        <w:pStyle w:val="Normal"/>
        <w:jc w:val="both"/>
        <w:rPr/>
      </w:pPr>
      <w:r>
        <w:rPr/>
        <w:t xml:space="preserve">In questo paragrafo viene riportato l’elenco dei Web Services che rientrano nell’ambito della componente FSE esposti sul SIST. </w:t>
      </w:r>
    </w:p>
    <w:p>
      <w:pPr>
        <w:pStyle w:val="Normal"/>
        <w:jc w:val="both"/>
        <w:rPr/>
      </w:pPr>
      <w:r>
        <w:rPr/>
        <w:t>Per la specifica di ciascun Web Service è fornita una descrizione del suo obiettivo funzionale, gli eventuali controlli effettuati sui dati di input e le Asserzioni previste per la corretta chiamata dello stesso.</w:t>
      </w:r>
    </w:p>
    <w:p>
      <w:pPr>
        <w:pStyle w:val="Normal"/>
        <w:rPr/>
      </w:pPr>
      <w:r>
        <w:rPr/>
      </w:r>
    </w:p>
    <w:p>
      <w:pPr>
        <w:pStyle w:val="Heading2"/>
        <w:rPr/>
      </w:pPr>
      <w:bookmarkStart w:id="79" w:name="_Toc408500077"/>
      <w:bookmarkStart w:id="80" w:name="_Toc389584725"/>
      <w:bookmarkStart w:id="81" w:name="_Toc173420514"/>
      <w:bookmarkStart w:id="82" w:name="_Toc438993509"/>
      <w:r>
        <w:rPr>
          <w:lang w:val="it-IT"/>
        </w:rPr>
        <w:t>Web Service: addDocument</w:t>
      </w:r>
      <w:bookmarkEnd w:id="79"/>
      <w:bookmarkEnd w:id="80"/>
      <w:bookmarkEnd w:id="81"/>
      <w:bookmarkEnd w:id="82"/>
    </w:p>
    <w:p>
      <w:pPr>
        <w:pStyle w:val="Normal"/>
        <w:jc w:val="both"/>
        <w:rPr/>
      </w:pPr>
      <w:r>
        <w:rP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alle seguenti asserzioni </w:t>
      </w:r>
      <w:r>
        <w:rPr>
          <w:i/>
        </w:rPr>
        <w:t>blindDocument</w:t>
      </w:r>
      <w:r>
        <w:rPr/>
        <w:t xml:space="preserve">, </w:t>
      </w:r>
      <w:r>
        <w:rPr>
          <w:i/>
        </w:rPr>
        <w:t>patientConsent</w:t>
      </w:r>
      <w:r>
        <w:rPr/>
        <w:t>, in particolare:</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pPr>
        <w:pStyle w:val="ListParagraph"/>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pPr>
        <w:pStyle w:val="Normal"/>
        <w:rPr>
          <w:b/>
        </w:rPr>
      </w:pPr>
      <w:r>
        <w:rPr>
          <w:b/>
        </w:rPr>
        <w:t>Controlli:</w:t>
      </w:r>
    </w:p>
    <w:p>
      <w:pPr>
        <w:pStyle w:val="Normal"/>
        <w:numPr>
          <w:ilvl w:val="0"/>
          <w:numId w:val="142"/>
        </w:numPr>
        <w:rPr/>
      </w:pPr>
      <w:r>
        <w:rPr/>
        <w:t>Obbligatorietà dei parametri di input</w:t>
      </w:r>
    </w:p>
    <w:p>
      <w:pPr>
        <w:pStyle w:val="Normal"/>
        <w:numPr>
          <w:ilvl w:val="0"/>
          <w:numId w:val="143"/>
        </w:numPr>
        <w:rPr/>
      </w:pPr>
      <w:r>
        <w:rPr/>
        <w:t>Correttezza semantica dei parametri di input.</w:t>
      </w:r>
    </w:p>
    <w:p>
      <w:pPr>
        <w:pStyle w:val="Normal"/>
        <w:numPr>
          <w:ilvl w:val="0"/>
          <w:numId w:val="144"/>
        </w:numPr>
        <w:rPr/>
      </w:pPr>
      <w:r>
        <w:rPr/>
        <w:t>Esistenza del documento integrato, in caso di documenti integrativi</w:t>
      </w:r>
    </w:p>
    <w:p>
      <w:pPr>
        <w:pStyle w:val="Normal"/>
        <w:numPr>
          <w:ilvl w:val="0"/>
          <w:numId w:val="145"/>
        </w:numPr>
        <w:rPr/>
      </w:pPr>
      <w:r>
        <w:rPr/>
        <w:t>Controlli incrociati sugli attributi delle asserzioni (vedi tabella)</w:t>
      </w:r>
    </w:p>
    <w:p>
      <w:pPr>
        <w:pStyle w:val="Normal"/>
        <w:numPr>
          <w:ilvl w:val="0"/>
          <w:numId w:val="146"/>
        </w:numPr>
        <w:rPr/>
      </w:pPr>
      <w:r>
        <w:rPr/>
        <w:t xml:space="preserve">Politiche di accesso </w:t>
      </w:r>
    </w:p>
    <w:p>
      <w:pPr>
        <w:pStyle w:val="Normal"/>
        <w:rPr>
          <w:b/>
        </w:rPr>
      </w:pPr>
      <w:r>
        <w:rPr>
          <w:b/>
        </w:rPr>
        <w:t xml:space="preserve">Asserzioni </w:t>
        <w:br/>
      </w:r>
    </w:p>
    <w:tbl>
      <w:tblPr>
        <w:tblW w:w="752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70"/>
        <w:gridCol w:w="907"/>
        <w:gridCol w:w="703"/>
        <w:gridCol w:w="3447"/>
      </w:tblGrid>
      <w:tr>
        <w:trPr/>
        <w:tc>
          <w:tcPr>
            <w:tcW w:w="24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(inserimento).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LOINCdella risorsa che si intende agguingere(per esempio 60591-5=Patient Summary), se non specificato il sistema lo estrarrà dal CDA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Consenso esplicito, acquisito dall’operatore sanitario che emette il documento, all’alimentazione del FSE</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pPr>
      <w:r>
        <w:rPr/>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iscritto al SSR</w:t>
            </w:r>
          </w:p>
        </w:tc>
      </w:tr>
    </w:tbl>
    <w:p>
      <w:pPr>
        <w:pStyle w:val="Normal"/>
        <w:rPr/>
      </w:pPr>
      <w:r>
        <w:rPr/>
        <w:t xml:space="preserve">Per gli esempi dei messagi SOAP consultare il capitolo </w:t>
      </w:r>
      <w:r>
        <w:rPr/>
        <w:fldChar w:fldCharType="begin"/>
      </w:r>
      <w:r>
        <w:rPr/>
        <w:instrText xml:space="preserve"> REF _Ref408914704 \r \r \h </w:instrText>
      </w:r>
      <w:r>
        <w:rPr/>
        <w:fldChar w:fldCharType="separate"/>
      </w:r>
      <w:r>
        <w:rPr/>
        <w:t>14.1</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i/>
        </w:rPr>
        <w:t>.</w:t>
      </w:r>
    </w:p>
    <w:p>
      <w:pPr>
        <w:pStyle w:val="Heading2"/>
        <w:rPr/>
      </w:pPr>
      <w:bookmarkStart w:id="83" w:name="_Toc173420515"/>
      <w:bookmarkStart w:id="84" w:name="_Toc438993510"/>
      <w:bookmarkStart w:id="85" w:name="_Toc408843897"/>
      <w:r>
        <w:rPr>
          <w:lang w:val="it-IT"/>
        </w:rPr>
        <w:t>Web Service: updateDocument</w:t>
      </w:r>
      <w:bookmarkEnd w:id="83"/>
      <w:bookmarkEnd w:id="84"/>
      <w:bookmarkEnd w:id="85"/>
    </w:p>
    <w:p>
      <w:pPr>
        <w:pStyle w:val="Normal"/>
        <w:jc w:val="both"/>
        <w:rPr/>
      </w:pPr>
      <w:r>
        <w:rP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alle seguenti asserzioni </w:t>
      </w:r>
      <w:r>
        <w:rPr>
          <w:i/>
        </w:rPr>
        <w:t>blindDocument</w:t>
      </w:r>
      <w:r>
        <w:rPr/>
        <w:t xml:space="preserve">, </w:t>
      </w:r>
      <w:r>
        <w:rPr>
          <w:i/>
        </w:rPr>
        <w:t>patientConsent</w:t>
      </w:r>
      <w:r>
        <w:rPr/>
        <w:t>, in particolare:</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pPr>
        <w:pStyle w:val="ListParagraph"/>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pPr>
        <w:pStyle w:val="Normal"/>
        <w:rPr>
          <w:color w:val="000000"/>
        </w:rPr>
      </w:pPr>
      <w:r>
        <w:rPr>
          <w:b/>
        </w:rPr>
        <w:t>Controlli:</w:t>
      </w:r>
    </w:p>
    <w:p>
      <w:pPr>
        <w:pStyle w:val="Normal"/>
        <w:numPr>
          <w:ilvl w:val="0"/>
          <w:numId w:val="147"/>
        </w:numPr>
        <w:rPr/>
      </w:pPr>
      <w:r>
        <w:rPr/>
        <w:t>Obbligatorietà dei parametri di input</w:t>
      </w:r>
    </w:p>
    <w:p>
      <w:pPr>
        <w:pStyle w:val="Normal"/>
        <w:numPr>
          <w:ilvl w:val="0"/>
          <w:numId w:val="148"/>
        </w:numPr>
        <w:rPr/>
      </w:pPr>
      <w:r>
        <w:rPr/>
        <w:t>Correttezza semantica dei parametri di input.</w:t>
      </w:r>
    </w:p>
    <w:p>
      <w:pPr>
        <w:pStyle w:val="Normal"/>
        <w:numPr>
          <w:ilvl w:val="0"/>
          <w:numId w:val="149"/>
        </w:numPr>
        <w:rPr/>
      </w:pPr>
      <w:r>
        <w:rPr/>
        <w:t>Esistenza del documento che si sta modificando</w:t>
      </w:r>
    </w:p>
    <w:p>
      <w:pPr>
        <w:pStyle w:val="Normal"/>
        <w:numPr>
          <w:ilvl w:val="0"/>
          <w:numId w:val="150"/>
        </w:numPr>
        <w:rPr/>
      </w:pPr>
      <w:r>
        <w:rPr/>
        <w:t>Controlli incrociati sugli attributi delle asserzioni (vedi tabella)</w:t>
      </w:r>
    </w:p>
    <w:p>
      <w:pPr>
        <w:pStyle w:val="Normal"/>
        <w:numPr>
          <w:ilvl w:val="0"/>
          <w:numId w:val="151"/>
        </w:numPr>
        <w:rPr/>
      </w:pPr>
      <w:r>
        <w:rPr/>
        <w:t>Politiche di accesso</w:t>
      </w:r>
    </w:p>
    <w:p>
      <w:pPr>
        <w:pStyle w:val="Normal"/>
        <w:rPr/>
      </w:pPr>
      <w:r>
        <w:rPr/>
      </w:r>
    </w:p>
    <w:p>
      <w:pPr>
        <w:pStyle w:val="Normal"/>
        <w:rPr/>
      </w:pPr>
      <w:r>
        <w:rPr>
          <w:b/>
        </w:rPr>
        <w:t>Asserzione</w:t>
        <w:br/>
      </w:r>
    </w:p>
    <w:tbl>
      <w:tblPr>
        <w:tblW w:w="752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70"/>
        <w:gridCol w:w="907"/>
        <w:gridCol w:w="703"/>
        <w:gridCol w:w="3447"/>
      </w:tblGrid>
      <w:tr>
        <w:trPr/>
        <w:tc>
          <w:tcPr>
            <w:tcW w:w="24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(aggiornamento o annullo).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 della risorsa che si intende aggiungere (per esempio 60591-5=Patient Summary), se non specificato il sistema lo estrarrà dal CDA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r>
              <w:rPr>
                <w:rStyle w:val="FootnoteReference"/>
                <w:i/>
              </w:rPr>
              <w:footnoteReference w:id="4"/>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Consenso esplicito, acquisito dall’operatore sanitario che emette il documento, all’alimentazione del FSE</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assistito iscritto al SSR</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86" w:name="_Toc438993511"/>
      <w:bookmarkStart w:id="87" w:name="_Ref409087322"/>
      <w:bookmarkStart w:id="88" w:name="_Ref409087340"/>
      <w:bookmarkStart w:id="89" w:name="_Toc173420516"/>
      <w:bookmarkStart w:id="90" w:name="_Ref409087309"/>
      <w:bookmarkStart w:id="91" w:name="_Toc408843898"/>
      <w:r>
        <w:rPr>
          <w:lang w:val="it-IT"/>
        </w:rPr>
        <w:t>Web Service: queryDocument</w:t>
      </w:r>
      <w:bookmarkEnd w:id="86"/>
      <w:bookmarkEnd w:id="87"/>
      <w:bookmarkEnd w:id="88"/>
      <w:bookmarkEnd w:id="89"/>
      <w:bookmarkEnd w:id="90"/>
      <w:bookmarkEnd w:id="91"/>
    </w:p>
    <w:p>
      <w:pPr>
        <w:pStyle w:val="Normal"/>
        <w:jc w:val="both"/>
        <w:rPr/>
      </w:pPr>
      <w:r>
        <w:rP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Il FSE di un assistito può essere interrogato con i seguenti parametri</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sz w:val="20"/>
          <w:szCs w:val="20"/>
        </w:rPr>
        <w:t>codice dell’assistito (obbligatorio)</w:t>
      </w:r>
    </w:p>
    <w:p>
      <w:pPr>
        <w:pStyle w:val="ListParagraph"/>
        <w:numPr>
          <w:ilvl w:val="0"/>
          <w:numId w:val="59"/>
        </w:numPr>
        <w:rPr>
          <w:rFonts w:ascii="Times New Roman" w:hAnsi="Times New Roman"/>
          <w:sz w:val="20"/>
          <w:szCs w:val="20"/>
        </w:rPr>
      </w:pPr>
      <w:r>
        <w:rPr>
          <w:rFonts w:ascii="Times New Roman" w:hAnsi="Times New Roman"/>
          <w:sz w:val="20"/>
          <w:szCs w:val="20"/>
        </w:rPr>
        <w:t>intervallo di date</w:t>
      </w:r>
    </w:p>
    <w:p>
      <w:pPr>
        <w:pStyle w:val="ListParagraph"/>
        <w:numPr>
          <w:ilvl w:val="0"/>
          <w:numId w:val="59"/>
        </w:numPr>
        <w:rPr>
          <w:rFonts w:ascii="Times New Roman" w:hAnsi="Times New Roman"/>
          <w:sz w:val="20"/>
          <w:szCs w:val="20"/>
        </w:rPr>
      </w:pPr>
      <w:r>
        <w:rPr>
          <w:rFonts w:ascii="Times New Roman" w:hAnsi="Times New Roman"/>
          <w:sz w:val="20"/>
          <w:szCs w:val="20"/>
        </w:rPr>
        <w:t xml:space="preserve">tipo di documento </w:t>
      </w:r>
    </w:p>
    <w:p>
      <w:pPr>
        <w:pStyle w:val="ListParagraph"/>
        <w:numPr>
          <w:ilvl w:val="0"/>
          <w:numId w:val="59"/>
        </w:numPr>
        <w:rPr>
          <w:rFonts w:ascii="Times New Roman" w:hAnsi="Times New Roman"/>
          <w:sz w:val="20"/>
          <w:szCs w:val="20"/>
        </w:rPr>
      </w:pPr>
      <w:r>
        <w:rPr>
          <w:rFonts w:ascii="Times New Roman" w:hAnsi="Times New Roman"/>
          <w:sz w:val="20"/>
          <w:szCs w:val="20"/>
        </w:rPr>
        <w:t>stato del documento</w:t>
      </w:r>
    </w:p>
    <w:p>
      <w:pPr>
        <w:pStyle w:val="ListParagraph"/>
        <w:numPr>
          <w:ilvl w:val="0"/>
          <w:numId w:val="59"/>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sz w:val="20"/>
          <w:szCs w:val="20"/>
          <w:rFonts w:ascii="Times New Roman" w:hAnsi="Times New Roman"/>
        </w:rPr>
        <w:instrText xml:space="preserve"> REF _Ref408918029 \r \r \h </w:instrText>
      </w:r>
      <w:r>
        <w:rPr>
          <w:sz w:val="20"/>
          <w:szCs w:val="20"/>
          <w:rFonts w:ascii="Times New Roman" w:hAnsi="Times New Roman"/>
        </w:rPr>
        <w:fldChar w:fldCharType="separate"/>
      </w:r>
      <w:r>
        <w:rPr>
          <w:sz w:val="20"/>
          <w:szCs w:val="20"/>
          <w:rFonts w:ascii="Times New Roman" w:hAnsi="Times New Roman"/>
        </w:rPr>
        <w:t>9.3.1</w:t>
      </w:r>
      <w:r>
        <w:rPr>
          <w:sz w:val="20"/>
          <w:szCs w:val="20"/>
          <w:rFonts w:ascii="Times New Roman" w:hAnsi="Times New Roman"/>
        </w:rPr>
        <w:fldChar w:fldCharType="end"/>
      </w:r>
      <w:r>
        <w:rPr>
          <w:rFonts w:ascii="Times New Roman" w:hAnsi="Times New Roman"/>
          <w:sz w:val="20"/>
          <w:szCs w:val="20"/>
        </w:rPr>
        <w:t>.</w:t>
      </w:r>
    </w:p>
    <w:p>
      <w:pPr>
        <w:pStyle w:val="ListParagraph"/>
        <w:ind w:left="1571"/>
        <w:rPr>
          <w:rFonts w:ascii="Times New Roman" w:hAnsi="Times New Roman"/>
          <w:sz w:val="20"/>
          <w:szCs w:val="20"/>
        </w:rPr>
      </w:pPr>
      <w:r>
        <w:rPr>
          <w:rFonts w:ascii="Times New Roman" w:hAnsi="Times New Roman"/>
          <w:sz w:val="20"/>
          <w:szCs w:val="20"/>
        </w:rPr>
      </w:r>
    </w:p>
    <w:p>
      <w:pPr>
        <w:pStyle w:val="ListParagraph"/>
        <w:ind w:left="1571"/>
        <w:rPr>
          <w:rFonts w:ascii="Times New Roman" w:hAnsi="Times New Roman"/>
          <w:sz w:val="20"/>
          <w:szCs w:val="20"/>
        </w:rPr>
      </w:pPr>
      <w:r>
        <w:rPr>
          <w:rFonts w:ascii="Times New Roman" w:hAnsi="Times New Roman"/>
          <w:sz w:val="20"/>
          <w:szCs w:val="20"/>
        </w:rPr>
        <w:t>Un esempio di custom criteria è riportato di seguito:</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r>
        <w:rPr>
          <w:rFonts w:cs="Courier New" w:ascii="Courier New" w:hAnsi="Courier New"/>
          <w:color w:val="000000"/>
          <w:sz w:val="14"/>
          <w:szCs w:val="14"/>
        </w:rPr>
        <w:t>accertamento</w:t>
      </w: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r>
        <w:rPr>
          <w:rFonts w:cs="Courier New" w:ascii="Courier New" w:hAnsi="Courier New"/>
          <w:color w:val="000000"/>
          <w:sz w:val="14"/>
          <w:szCs w:val="14"/>
          <w:lang w:val="en-US"/>
        </w:rPr>
        <w:t>branca</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code&gt;</w:t>
      </w:r>
      <w:r>
        <w:rPr>
          <w:rFonts w:cs="Courier New" w:ascii="Courier New" w:hAnsi="Courier New"/>
          <w:color w:val="000000"/>
          <w:sz w:val="14"/>
          <w:szCs w:val="14"/>
          <w:lang w:val="en-US"/>
        </w:rPr>
        <w:t>CARDIOLOGIA</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code&gt;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ListParagraph"/>
        <w:rPr/>
      </w:pPr>
      <w:r>
        <w:rPr/>
      </w:r>
    </w:p>
    <w:p>
      <w:pPr>
        <w:pStyle w:val="Normal"/>
        <w:rPr/>
      </w:pPr>
      <w:r>
        <w:rPr/>
        <w:t>Il servizio di queryDocument restituisce per ogni documento estratto il portafoglio di asserzioni che dovrà essere utilizzato per la chiamata al servizio retrieveDocument.</w:t>
      </w:r>
    </w:p>
    <w:p>
      <w:pPr>
        <w:pStyle w:val="Normal"/>
        <w:rPr/>
      </w:pPr>
      <w:r>
        <w:rPr/>
        <w:t>Di seguito si riporta un esempio del portafoglio di asserzioni della response del servizio queryDocument.</w:t>
      </w:r>
    </w:p>
    <w:p>
      <w:pPr>
        <w:pStyle w:val="Normal"/>
        <w:rPr/>
      </w:pPr>
      <w:r>
        <w:rPr/>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&lt;assertions&gt;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&lt;id&gt;</w:t>
      </w:r>
      <w:r>
        <w:rPr>
          <w:rFonts w:cs="Courier New" w:ascii="Courier New" w:hAnsi="Courier New"/>
          <w:color w:val="000000"/>
          <w:sz w:val="14"/>
          <w:szCs w:val="14"/>
          <w:lang w:val="en-US"/>
        </w:rPr>
        <w:t>applicative-assertion</w:t>
      </w:r>
      <w:r>
        <w:rPr>
          <w:rFonts w:cs="Courier New" w:ascii="Courier New" w:hAnsi="Courier New"/>
          <w:color w:val="7F0055"/>
          <w:sz w:val="14"/>
          <w:szCs w:val="14"/>
          <w:lang w:val="en-US"/>
        </w:rPr>
        <w:t>&lt;/id&gt;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urn:oasis:names:tc:sist:1.0:subject:subject-application-vendor</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urn:oasis:names:tc:sist:1.0:subject:subject-application-version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urn:oasis:names:tc:sist:1.0:subject:subject-application-nonce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urn:oasis:names:tc:sist:1.0:subject:subject-application-created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urn:oasis:names:tc:xacml:1.0:action:action-id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urn:oasis:names:tc:fse:1.0:subject:typeofcare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urn:oasis:names:tc:xspa:1.0:subject:purposeofuse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urn:oasis:names:tc:xacml:2.0:subject:role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&lt;/assertions&gt;</w:t>
      </w:r>
    </w:p>
    <w:p>
      <w:pPr>
        <w:pStyle w:val="Normal"/>
        <w:rPr/>
      </w:pPr>
      <w:r>
        <w:rPr/>
      </w:r>
    </w:p>
    <w:p>
      <w:pPr>
        <w:pStyle w:val="Normal"/>
        <w:rPr>
          <w:b/>
        </w:rPr>
      </w:pPr>
      <w:r>
        <w:rPr>
          <w:b/>
        </w:rPr>
        <w:t>Controlli:</w:t>
      </w:r>
    </w:p>
    <w:p>
      <w:pPr>
        <w:pStyle w:val="Normal"/>
        <w:numPr>
          <w:ilvl w:val="0"/>
          <w:numId w:val="152"/>
        </w:numPr>
        <w:rPr/>
      </w:pPr>
      <w:r>
        <w:rPr/>
        <w:t>Obbligatorietà dei parametri di input</w:t>
      </w:r>
    </w:p>
    <w:p>
      <w:pPr>
        <w:pStyle w:val="Normal"/>
        <w:numPr>
          <w:ilvl w:val="0"/>
          <w:numId w:val="153"/>
        </w:numPr>
        <w:rPr/>
      </w:pPr>
      <w:r>
        <w:rPr/>
        <w:t>Correttezza semantica dei parametri di input.</w:t>
      </w:r>
    </w:p>
    <w:p>
      <w:pPr>
        <w:pStyle w:val="Normal"/>
        <w:numPr>
          <w:ilvl w:val="0"/>
          <w:numId w:val="154"/>
        </w:numPr>
        <w:rPr/>
      </w:pPr>
      <w:r>
        <w:rPr/>
        <w:t>Controlli incrociati sugli attributi delle asserzioni (vedi tabella)</w:t>
      </w:r>
    </w:p>
    <w:p>
      <w:pPr>
        <w:pStyle w:val="Normal"/>
        <w:numPr>
          <w:ilvl w:val="0"/>
          <w:numId w:val="155"/>
        </w:numPr>
        <w:rPr/>
      </w:pPr>
      <w:r>
        <w:rPr/>
        <w:t xml:space="preserve">Politiche di accesso </w:t>
      </w:r>
    </w:p>
    <w:p>
      <w:pPr>
        <w:pStyle w:val="Normal"/>
        <w:ind w:left="1211"/>
        <w:rPr/>
      </w:pPr>
      <w:r>
        <w:rPr/>
      </w:r>
    </w:p>
    <w:p>
      <w:pPr>
        <w:pStyle w:val="Normal"/>
        <w:rPr>
          <w:b/>
        </w:rPr>
      </w:pPr>
      <w:r>
        <w:rPr>
          <w:b/>
        </w:rPr>
        <w:t>Asserzione</w:t>
        <w:br/>
      </w:r>
    </w:p>
    <w:tbl>
      <w:tblPr>
        <w:tblW w:w="796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92"/>
        <w:gridCol w:w="844"/>
        <w:gridCol w:w="1365"/>
        <w:gridCol w:w="3266"/>
      </w:tblGrid>
      <w:tr>
        <w:trPr/>
        <w:tc>
          <w:tcPr>
            <w:tcW w:w="249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o trattamento in emergenza PSS, personale).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processo di cura in cui è coinvolto il paziente (visita MMG/PLS, ricovero, episodio pronto soccorso, visita specialistica, personale).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assumptionOfResponsability</w:t>
            </w:r>
          </w:p>
        </w:tc>
        <w:tc>
          <w:tcPr>
            <w:tcW w:w="84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84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rPr>
                <w:i/>
                <w:i/>
                <w:iCs/>
              </w:rPr>
            </w:pPr>
            <w:r>
              <w:rPr>
                <w:i/>
                <w:iCs/>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Se presente indica la tipologia di delega in corso</w:t>
            </w:r>
          </w:p>
        </w:tc>
      </w:tr>
    </w:tbl>
    <w:p>
      <w:pPr>
        <w:pStyle w:val="Normal"/>
        <w:jc w:val="both"/>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 xml:space="preserve"> - </w:t>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639"/>
        <w:gridCol w:w="5406"/>
      </w:tblGrid>
      <w:tr>
        <w:trPr>
          <w:trHeight w:val="498" w:hRule="atLeast"/>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assistito SSR</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l’attributo è settato a E, l’accesso è “in emergenza”, se è settato a P l’operatorId deve coincidere con l’assistito, se è settato a EPSS (Emergenza PSS) i filtri di ricerca devono prevedere solo documenti di tipo PSS</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In caso di accesso in stato di emergenza dev’essere settato a True</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il valore è V l’operatorId deve essere MMG, PLS dell’assistito, nei restanti casi l’asserzione non è verificata</w:t>
            </w:r>
            <w:r>
              <w:rPr>
                <w:rStyle w:val="FootnoteReference"/>
              </w:rPr>
              <w:footnoteReference w:id="5"/>
            </w:r>
          </w:p>
        </w:tc>
      </w:tr>
      <w:tr>
        <w:trPr>
          <w:trHeight w:val="300" w:hRule="atLeast"/>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3"/>
        <w:rPr/>
      </w:pPr>
      <w:bookmarkStart w:id="92" w:name="_Toc173420517"/>
      <w:bookmarkStart w:id="93" w:name="_Toc438993512"/>
      <w:bookmarkStart w:id="94" w:name="_Ref408918029"/>
      <w:bookmarkStart w:id="95" w:name="_Toc408843912"/>
      <w:r>
        <w:rPr/>
        <w:t xml:space="preserve">Dizionario </w:t>
      </w:r>
      <w:bookmarkEnd w:id="94"/>
      <w:bookmarkEnd w:id="95"/>
      <w:r>
        <w:rPr/>
        <w:t>metadati</w:t>
      </w:r>
      <w:bookmarkEnd w:id="92"/>
      <w:bookmarkEnd w:id="93"/>
    </w:p>
    <w:p>
      <w:pPr>
        <w:pStyle w:val="Normal"/>
        <w:rPr/>
      </w:pPr>
      <w:r>
        <w:rPr/>
        <w:t xml:space="preserve">In accordo con lo standard </w:t>
      </w:r>
      <w:r>
        <w:rPr>
          <w:b/>
        </w:rPr>
        <w:t>HL7</w:t>
      </w:r>
      <w:r>
        <w:rPr/>
        <w:t xml:space="preserve"> CDA Rel. 2, che definisce il formato dei documenti elettronici scambiati, è prevista la creazione ed indicizzazione degli stessi sotto forma di metadati.</w:t>
      </w:r>
    </w:p>
    <w:p>
      <w:pPr>
        <w:pStyle w:val="Normal"/>
        <w:rPr/>
      </w:pPr>
      <w:r>
        <w:rPr/>
        <w:t>Di seguito sono elencati, in ordine alfabetico, i metadati utilizzati nella conversione.</w:t>
      </w:r>
    </w:p>
    <w:p>
      <w:pPr>
        <w:pStyle w:val="Normal"/>
        <w:rPr/>
      </w:pPr>
      <w:r>
        <w:rPr/>
      </w:r>
    </w:p>
    <w:tbl>
      <w:tblPr>
        <w:tblW w:w="5000" w:type="pct"/>
        <w:jc w:val="left"/>
        <w:tblInd w:w="0" w:type="dxa"/>
        <w:tblLayout w:type="fixed"/>
        <w:tblCellMar>
          <w:top w:w="0" w:type="dxa"/>
          <w:left w:w="108" w:type="dxa"/>
          <w:bottom w:w="0" w:type="dxa"/>
          <w:right w:w="108" w:type="dxa"/>
        </w:tblCellMar>
        <w:tblLook w:firstRow="1" w:noVBand="1" w:lastRow="0" w:firstColumn="1" w:lastColumn="0" w:noHBand="0" w:val="04a0"/>
      </w:tblPr>
      <w:tblGrid>
        <w:gridCol w:w="2590"/>
        <w:gridCol w:w="2903"/>
        <w:gridCol w:w="2870"/>
      </w:tblGrid>
      <w:tr>
        <w:trPr>
          <w:trHeight w:val="356" w:hRule="atLeast"/>
        </w:trPr>
        <w:tc>
          <w:tcPr>
            <w:tcW w:w="2590" w:type="dxa"/>
            <w:tcBorders>
              <w:top w:val="single" w:sz="8" w:space="0" w:color="000000"/>
              <w:left w:val="single" w:sz="8" w:space="0" w:color="000000"/>
            </w:tcBorders>
            <w:shd w:color="auto" w:fill="FFFFFF"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Metadato)</w:t>
            </w:r>
          </w:p>
        </w:tc>
        <w:tc>
          <w:tcPr>
            <w:tcW w:w="2903" w:type="dxa"/>
            <w:tcBorders>
              <w:top w:val="single" w:sz="8" w:space="0" w:color="000000"/>
              <w:bottom w:val="single" w:sz="8" w:space="0" w:color="000000"/>
            </w:tcBorders>
            <w:shd w:color="auto" w:fill="000000"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Value)</w:t>
            </w:r>
          </w:p>
        </w:tc>
        <w:tc>
          <w:tcPr>
            <w:tcW w:w="2870" w:type="dxa"/>
            <w:tcBorders>
              <w:top w:val="single" w:sz="8" w:space="0" w:color="000000"/>
              <w:right w:val="single" w:sz="8" w:space="0" w:color="000000"/>
            </w:tcBorders>
            <w:shd w:color="auto" w:fill="FFFFFF"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Descrizione del metadato</w:t>
            </w:r>
          </w:p>
        </w:tc>
      </w:tr>
      <w:tr>
        <w:trPr>
          <w:trHeight w:val="255" w:hRule="atLeast"/>
        </w:trPr>
        <w:tc>
          <w:tcPr>
            <w:tcW w:w="2590" w:type="dxa"/>
            <w:vMerge w:val="restart"/>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alibri" w:hAnsi="Calibri" w:eastAsia="Calibri"/>
                <w:b/>
                <w:bCs/>
                <w:sz w:val="22"/>
                <w:szCs w:val="22"/>
                <w:lang w:eastAsia="en-US"/>
              </w:rPr>
            </w:pPr>
            <w:r>
              <w:rPr>
                <w:rFonts w:eastAsia="Calibri" w:ascii="Courier New" w:hAnsi="Courier New"/>
                <w:b/>
                <w:bCs/>
                <w:sz w:val="22"/>
                <w:szCs w:val="22"/>
                <w:lang w:eastAsia="en-US"/>
              </w:rPr>
              <w:t>accertamento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Accertamento</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Branca dell’accertamento</w:t>
            </w:r>
          </w:p>
        </w:tc>
      </w:tr>
      <w:tr>
        <w:trPr>
          <w:trHeight w:val="219"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diagnosiAccertamento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dell’accertamento</w:t>
            </w:r>
          </w:p>
        </w:tc>
      </w:tr>
      <w:tr>
        <w:trPr>
          <w:trHeight w:val="255" w:hRule="atLeast"/>
        </w:trPr>
        <w:tc>
          <w:tcPr>
            <w:tcW w:w="2590" w:type="dxa"/>
            <w:vMerge w:val="restart"/>
            <w:tcBorders>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allegato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nomeAllegato</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dell'eventuale allegato al documento</w:t>
            </w:r>
          </w:p>
        </w:tc>
      </w:tr>
      <w:tr>
        <w:trPr>
          <w:trHeight w:val="255"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l'allegato binario è presente</w:t>
            </w:r>
          </w:p>
        </w:tc>
      </w:tr>
      <w:tr>
        <w:trPr>
          <w:trHeight w:val="255" w:hRule="atLeast"/>
        </w:trPr>
        <w:tc>
          <w:tcPr>
            <w:tcW w:w="2590" w:type="dxa"/>
            <w:vMerge w:val="restart"/>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allergia</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Allergia</w:t>
            </w:r>
          </w:p>
        </w:tc>
      </w:tr>
      <w:tr>
        <w:trPr>
          <w:trHeight w:val="255"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allergiaStato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dell’allergia</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codificaAllergia</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dell’allergia</w:t>
            </w:r>
          </w:p>
        </w:tc>
      </w:tr>
      <w:tr>
        <w:trPr>
          <w:trHeight w:val="255"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codificaReazione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 reazione allergica</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Reazione allergica</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autore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Autore del documento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codiceReferto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codiceReferto</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del referto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depositario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Depositario del documento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dataAccettazione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dataAccettazione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accettazione</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dataProduzione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dataProduzione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produzione</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dataRedazione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dataRedazione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redazione</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diagnosiDimissione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diagnosiDimissione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 dimissione</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effectiveTime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effectiveTime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del documento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enteErogatore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enteErogatore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Ente erogatore</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esenzione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esenzione</w:t>
            </w:r>
          </w:p>
        </w:tc>
      </w:tr>
      <w:tr>
        <w:trPr>
          <w:trHeight w:val="255" w:hRule="atLeast"/>
        </w:trPr>
        <w:tc>
          <w:tcPr>
            <w:tcW w:w="2590" w:type="dxa"/>
            <w:vMerge w:val="restart"/>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farmaco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AIC del farmaco</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farmacoATC</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ATC del farmaco</w:t>
            </w:r>
          </w:p>
        </w:tc>
      </w:tr>
      <w:tr>
        <w:trPr>
          <w:trHeight w:val="255"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farmacoGruppoEquivalenza</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Gruppo di equivalenza del farmaco</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fine dell’assunzione del farmaco</w:t>
            </w:r>
          </w:p>
        </w:tc>
      </w:tr>
      <w:tr>
        <w:trPr>
          <w:trHeight w:val="255" w:hRule="atLeast"/>
        </w:trPr>
        <w:tc>
          <w:tcPr>
            <w:tcW w:w="2590"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inizio dell’assunzione del farmaco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firmatario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Firmatario del documento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idRegionale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XDSDocumentEntry.uniqueId</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Identificativo regionale</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isDeprecated</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isDeprecated</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il documento è deprecato (solo per i PSS di versioni precedenti)</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mimeType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mimeType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MimeType del documento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modalitaAccettazione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modalitaAccettazione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Modalità di ricovero del paziente</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motivoRicovero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motivoRicovero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Motivo del ricovero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nome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 documento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oscurato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 xml:space="preserve">Indica se il documento è oscurato </w:t>
            </w:r>
            <w:r>
              <w:rPr>
                <w:rFonts w:eastAsia="Calibri" w:ascii="Calibri" w:hAnsi="Calibri"/>
                <w:i/>
                <w:sz w:val="22"/>
                <w:szCs w:val="22"/>
                <w:lang w:eastAsia="en-US"/>
              </w:rPr>
              <w:t>(visibile solo se il richiedente è l'assistito stesso)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prestazione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Tipologia di evento specialistico</w:t>
            </w:r>
          </w:p>
        </w:tc>
      </w:tr>
      <w:tr>
        <w:trPr>
          <w:trHeight w:val="255" w:hRule="atLeast"/>
        </w:trPr>
        <w:tc>
          <w:tcPr>
            <w:tcW w:w="2590" w:type="dxa"/>
            <w:vMerge w:val="restart"/>
            <w:tcBorders>
              <w:top w:val="single" w:sz="8" w:space="0" w:color="000000"/>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problema</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problema</w:t>
            </w:r>
          </w:p>
        </w:tc>
      </w:tr>
      <w:tr>
        <w:trPr>
          <w:trHeight w:val="255" w:hRule="atLeast"/>
        </w:trPr>
        <w:tc>
          <w:tcPr>
            <w:tcW w:w="2590"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problemaStato</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problema</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proceduraDimissione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proceduraDimissione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Intervento effettuato sul paziente</w:t>
            </w:r>
          </w:p>
        </w:tc>
      </w:tr>
      <w:tr>
        <w:trPr>
          <w:trHeight w:val="255" w:hRule="atLeast"/>
        </w:trPr>
        <w:tc>
          <w:tcPr>
            <w:tcW w:w="2590" w:type="dxa"/>
            <w:tcBorders>
              <w:left w:val="single" w:sz="8" w:space="0" w:color="000000"/>
              <w:bottom w:val="single" w:sz="4"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provenienzaPaziente</w:t>
            </w:r>
          </w:p>
        </w:tc>
        <w:tc>
          <w:tcPr>
            <w:tcW w:w="2903" w:type="dxa"/>
            <w:tcBorders>
              <w:bottom w:val="single" w:sz="4"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provenienzaPaziente</w:t>
            </w:r>
          </w:p>
        </w:tc>
        <w:tc>
          <w:tcPr>
            <w:tcW w:w="2870" w:type="dxa"/>
            <w:tcBorders>
              <w:bottom w:val="single" w:sz="4"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Struttura di provenienza del paziente</w:t>
            </w:r>
          </w:p>
        </w:tc>
      </w:tr>
      <w:tr>
        <w:trPr>
          <w:trHeight w:val="255" w:hRule="atLeast"/>
        </w:trPr>
        <w:tc>
          <w:tcPr>
            <w:tcW w:w="2590" w:type="dxa"/>
            <w:tcBorders>
              <w:top w:val="single" w:sz="4"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relatedDocument</w:t>
            </w:r>
          </w:p>
        </w:tc>
        <w:tc>
          <w:tcPr>
            <w:tcW w:w="2903" w:type="dxa"/>
            <w:tcBorders>
              <w:top w:val="single" w:sz="4"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relatedDocument</w:t>
            </w:r>
          </w:p>
        </w:tc>
        <w:tc>
          <w:tcPr>
            <w:tcW w:w="2870" w:type="dxa"/>
            <w:tcBorders>
              <w:top w:val="single" w:sz="4"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Documento che riferisce al valore del metadato idDocumento di un altro documento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ricoveroPrescritto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ricoveroPrescritto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Prescrizione del ricovero</w:t>
            </w:r>
          </w:p>
        </w:tc>
      </w:tr>
      <w:tr>
        <w:trPr>
          <w:trHeight w:val="255" w:hRule="atLeast"/>
        </w:trPr>
        <w:tc>
          <w:tcPr>
            <w:tcW w:w="2590"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tipoCertificato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tipoCertificato</w:t>
            </w:r>
          </w:p>
        </w:tc>
        <w:tc>
          <w:tcPr>
            <w:tcW w:w="2870"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certificato di malattia</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tipoRicovero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tipoRicovero</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ricovero</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triageAccettazione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triageAccettazione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accettazione</w:t>
            </w:r>
          </w:p>
        </w:tc>
      </w:tr>
      <w:tr>
        <w:trPr>
          <w:trHeight w:val="255" w:hRule="atLeast"/>
        </w:trPr>
        <w:tc>
          <w:tcPr>
            <w:tcW w:w="2590"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triageDimissione</w:t>
            </w:r>
          </w:p>
        </w:tc>
        <w:tc>
          <w:tcPr>
            <w:tcW w:w="2870"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dimissione</w:t>
            </w:r>
          </w:p>
        </w:tc>
      </w:tr>
    </w:tbl>
    <w:p>
      <w:pPr>
        <w:pStyle w:val="Normal"/>
        <w:rPr/>
      </w:pPr>
      <w:r>
        <w:rPr/>
      </w:r>
    </w:p>
    <w:p>
      <w:pPr>
        <w:pStyle w:val="Normal"/>
        <w:rPr/>
      </w:pPr>
      <w:r>
        <w:rPr/>
      </w:r>
    </w:p>
    <w:p>
      <w:pPr>
        <w:pStyle w:val="Normal"/>
        <w:rPr/>
      </w:pPr>
      <w:r>
        <w:rPr/>
        <w:t>Ognuno di questi metadati può essere presente in uno o più tipologie di documento CDA.</w:t>
      </w:r>
    </w:p>
    <w:p>
      <w:pPr>
        <w:pStyle w:val="Normal"/>
        <w:rPr/>
      </w:pPr>
      <w:r>
        <w:rPr/>
        <w:t xml:space="preserve">Nella seguente tabella sono riportati i metadati suddivisi per tipo di documento CDA: </w:t>
        <w:br/>
      </w:r>
    </w:p>
    <w:tbl>
      <w:tblPr>
        <w:tblW w:w="83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268"/>
        <w:gridCol w:w="4085"/>
      </w:tblGrid>
      <w:tr>
        <w:trPr>
          <w:trHeight w:val="529"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Documento CDA</w:t>
            </w:r>
          </w:p>
        </w:tc>
      </w:tr>
      <w:tr>
        <w:trPr>
          <w:trHeight w:val="784"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both"/>
              <w:rPr>
                <w:rFonts w:ascii="Courier New" w:hAnsi="Courier New" w:cs="Courier New"/>
                <w:b/>
              </w:rPr>
            </w:pPr>
            <w:r>
              <w:rPr>
                <w:rFonts w:cs="Courier New" w:ascii="Courier New" w:hAnsi="Courier New"/>
                <w:b/>
              </w:rPr>
              <w:t>idRegionale</w:t>
            </w:r>
          </w:p>
          <w:p>
            <w:pPr>
              <w:pStyle w:val="Normal"/>
              <w:ind w:left="0"/>
              <w:rPr>
                <w:rFonts w:ascii="Courier New" w:hAnsi="Courier New" w:cs="Courier New"/>
                <w:b/>
              </w:rPr>
            </w:pPr>
            <w:r>
              <w:rPr>
                <w:rFonts w:cs="Courier New" w:ascii="Courier New" w:hAnsi="Courier New"/>
                <w:b/>
              </w:rPr>
              <w:t>allegato</w:t>
            </w:r>
          </w:p>
          <w:p>
            <w:pPr>
              <w:pStyle w:val="Normal"/>
              <w:ind w:left="0"/>
              <w:rPr>
                <w:rFonts w:ascii="Courier New" w:hAnsi="Courier New" w:cs="Courier New"/>
                <w:b/>
              </w:rPr>
            </w:pPr>
            <w:r>
              <w:rPr>
                <w:rFonts w:cs="Courier New" w:ascii="Courier New" w:hAnsi="Courier New"/>
                <w:b/>
              </w:rPr>
              <w:t>autore</w:t>
            </w:r>
          </w:p>
          <w:p>
            <w:pPr>
              <w:pStyle w:val="Normal"/>
              <w:ind w:left="0"/>
              <w:rPr>
                <w:rFonts w:ascii="Courier New" w:hAnsi="Courier New" w:cs="Courier New"/>
                <w:b/>
              </w:rPr>
            </w:pPr>
            <w:r>
              <w:rPr>
                <w:rFonts w:cs="Courier New" w:ascii="Courier New" w:hAnsi="Courier New"/>
                <w:b/>
              </w:rPr>
              <w:t>depositario</w:t>
            </w:r>
          </w:p>
          <w:p>
            <w:pPr>
              <w:pStyle w:val="Normal"/>
              <w:ind w:left="0"/>
              <w:rPr>
                <w:rFonts w:ascii="Courier New" w:hAnsi="Courier New" w:cs="Courier New"/>
                <w:b/>
              </w:rPr>
            </w:pPr>
            <w:r>
              <w:rPr>
                <w:rFonts w:cs="Courier New" w:ascii="Courier New" w:hAnsi="Courier New"/>
                <w:b/>
              </w:rPr>
              <w:t>firmatario</w:t>
            </w:r>
          </w:p>
          <w:p>
            <w:pPr>
              <w:pStyle w:val="Normal"/>
              <w:ind w:left="0"/>
              <w:rPr>
                <w:rFonts w:ascii="Courier New" w:hAnsi="Courier New" w:cs="Courier New"/>
                <w:b/>
              </w:rPr>
            </w:pPr>
            <w:r>
              <w:rPr>
                <w:rFonts w:cs="Courier New" w:ascii="Courier New" w:hAnsi="Courier New"/>
                <w:b/>
              </w:rPr>
              <w:t>effectiveTime</w:t>
            </w:r>
          </w:p>
          <w:p>
            <w:pPr>
              <w:pStyle w:val="Normal"/>
              <w:ind w:left="0"/>
              <w:rPr>
                <w:rFonts w:ascii="Courier New" w:hAnsi="Courier New" w:cs="Courier New"/>
                <w:b/>
              </w:rPr>
            </w:pPr>
            <w:r>
              <w:rPr>
                <w:rFonts w:cs="Courier New" w:ascii="Courier New" w:hAnsi="Courier New"/>
                <w:b/>
              </w:rPr>
              <w:t>mimeType</w:t>
            </w:r>
          </w:p>
          <w:p>
            <w:pPr>
              <w:pStyle w:val="Normal"/>
              <w:ind w:left="0"/>
              <w:rPr>
                <w:rFonts w:ascii="Courier New" w:hAnsi="Courier New" w:cs="Courier New"/>
                <w:b/>
              </w:rPr>
            </w:pPr>
            <w:r>
              <w:rPr>
                <w:rFonts w:cs="Courier New" w:ascii="Courier New" w:hAnsi="Courier New"/>
                <w:b/>
              </w:rPr>
              <w:t>nome</w:t>
            </w:r>
          </w:p>
          <w:p>
            <w:pPr>
              <w:pStyle w:val="Normal"/>
              <w:ind w:left="0"/>
              <w:rPr>
                <w:rFonts w:ascii="Courier New" w:hAnsi="Courier New" w:cs="Courier New"/>
                <w:b/>
              </w:rPr>
            </w:pPr>
            <w:r>
              <w:rPr>
                <w:rFonts w:cs="Courier New" w:ascii="Courier New" w:hAnsi="Courier New"/>
                <w:b/>
              </w:rPr>
              <w:t>oscurato</w:t>
            </w:r>
          </w:p>
          <w:p>
            <w:pPr>
              <w:pStyle w:val="Normal"/>
              <w:ind w:left="0"/>
              <w:rPr>
                <w:rFonts w:ascii="Courier New" w:hAnsi="Courier New" w:cs="Courier New"/>
                <w:b/>
              </w:rPr>
            </w:pPr>
            <w:r>
              <w:rPr>
                <w:rFonts w:cs="Courier New" w:ascii="Courier New" w:hAnsi="Courier New"/>
                <w:b/>
              </w:rPr>
              <w:t>relatedDocument</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Elementi Comuni</w:t>
            </w:r>
          </w:p>
        </w:tc>
      </w:tr>
      <w:tr>
        <w:trPr>
          <w:trHeight w:val="1122"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dataProduzione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enteErogatore</w:t>
            </w:r>
          </w:p>
          <w:p>
            <w:pPr>
              <w:pStyle w:val="Normal"/>
              <w:ind w:left="0"/>
              <w:rPr>
                <w:rFonts w:ascii="Courier New" w:hAnsi="Courier New" w:cs="Courier New"/>
                <w:b/>
              </w:rPr>
            </w:pPr>
            <w:r>
              <w:rPr>
                <w:rFonts w:cs="Courier New" w:ascii="Courier New" w:hAnsi="Courier New"/>
                <w:b/>
              </w:rPr>
              <w:t>tipoCertificato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Certificato di Malattia</w:t>
            </w:r>
          </w:p>
        </w:tc>
      </w:tr>
      <w:tr>
        <w:trPr>
          <w:trHeight w:val="712"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Erogazione Farmaceutica</w:t>
            </w:r>
          </w:p>
        </w:tc>
      </w:tr>
      <w:tr>
        <w:trPr>
          <w:trHeight w:val="710"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Erogazione Specialistica</w:t>
            </w:r>
          </w:p>
        </w:tc>
      </w:tr>
      <w:tr>
        <w:trPr>
          <w:trHeight w:val="1539"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accertamento</w:t>
            </w:r>
          </w:p>
          <w:p>
            <w:pPr>
              <w:pStyle w:val="Normal"/>
              <w:ind w:left="0"/>
              <w:rPr>
                <w:rFonts w:ascii="Courier New" w:hAnsi="Courier New" w:cs="Courier New"/>
                <w:b/>
              </w:rPr>
            </w:pPr>
            <w:r>
              <w:rPr>
                <w:rFonts w:cs="Courier New" w:ascii="Courier New" w:hAnsi="Courier New"/>
                <w:b/>
              </w:rPr>
              <w:t>allergia</w:t>
            </w:r>
          </w:p>
          <w:p>
            <w:pPr>
              <w:pStyle w:val="Normal"/>
              <w:ind w:left="0"/>
              <w:rPr>
                <w:rFonts w:ascii="Courier New" w:hAnsi="Courier New" w:cs="Courier New"/>
                <w:b/>
              </w:rPr>
            </w:pPr>
            <w:r>
              <w:rPr>
                <w:rFonts w:cs="Courier New" w:ascii="Courier New" w:hAnsi="Courier New"/>
                <w:b/>
              </w:rPr>
              <w:t>dataRedazione</w:t>
            </w:r>
          </w:p>
          <w:p>
            <w:pPr>
              <w:pStyle w:val="Normal"/>
              <w:ind w:left="0"/>
              <w:rPr>
                <w:rFonts w:ascii="Courier New" w:hAnsi="Courier New" w:cs="Courier New"/>
                <w:b/>
              </w:rPr>
            </w:pPr>
            <w:r>
              <w:rPr>
                <w:rFonts w:cs="Courier New" w:ascii="Courier New" w:hAnsi="Courier New"/>
                <w:b/>
              </w:rPr>
              <w:t>diagnosiAccertamento</w:t>
            </w:r>
          </w:p>
          <w:p>
            <w:pPr>
              <w:pStyle w:val="Normal"/>
              <w:ind w:left="0"/>
              <w:rPr>
                <w:rFonts w:ascii="Courier New" w:hAnsi="Courier New" w:cs="Courier New"/>
                <w:b/>
              </w:rPr>
            </w:pPr>
            <w:r>
              <w:rPr>
                <w:rFonts w:cs="Courier New" w:ascii="Courier New" w:hAnsi="Courier New"/>
                <w:b/>
              </w:rPr>
              <w:t>farmaco</w:t>
            </w:r>
          </w:p>
          <w:p>
            <w:pPr>
              <w:pStyle w:val="Normal"/>
              <w:ind w:left="0"/>
              <w:rPr>
                <w:rFonts w:ascii="Courier New" w:hAnsi="Courier New" w:cs="Courier New"/>
                <w:b/>
              </w:rPr>
            </w:pPr>
            <w:r>
              <w:rPr>
                <w:rFonts w:cs="Courier New" w:ascii="Courier New" w:hAnsi="Courier New"/>
                <w:b/>
              </w:rPr>
              <w:t>problema</w:t>
            </w:r>
          </w:p>
          <w:p>
            <w:pPr>
              <w:pStyle w:val="Normal"/>
              <w:ind w:left="0"/>
              <w:rPr>
                <w:rFonts w:ascii="Courier New" w:hAnsi="Courier New" w:cs="Courier New"/>
                <w:b/>
              </w:rPr>
            </w:pPr>
            <w:r>
              <w:rPr>
                <w:rFonts w:cs="Courier New" w:ascii="Courier New" w:hAnsi="Courier New"/>
                <w:b/>
              </w:rPr>
              <w:t>isDeprecated</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Patient Summary</w:t>
            </w:r>
          </w:p>
        </w:tc>
      </w:tr>
      <w:tr>
        <w:trPr>
          <w:trHeight w:val="844"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Farmaceutica</w:t>
            </w:r>
          </w:p>
        </w:tc>
      </w:tr>
      <w:tr>
        <w:trPr>
          <w:trHeight w:val="565"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Ricovero</w:t>
            </w:r>
          </w:p>
        </w:tc>
      </w:tr>
      <w:tr>
        <w:trPr>
          <w:trHeight w:val="685"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Specialistica</w:t>
            </w:r>
          </w:p>
        </w:tc>
      </w:tr>
      <w:tr>
        <w:trPr>
          <w:trHeight w:val="567"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codiceReferto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Referto Specialistico</w:t>
            </w:r>
          </w:p>
        </w:tc>
      </w:tr>
      <w:tr>
        <w:trPr>
          <w:trHeight w:val="1848"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dataAccettazione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modalitaAccettazione</w:t>
            </w:r>
          </w:p>
          <w:p>
            <w:pPr>
              <w:pStyle w:val="Normal"/>
              <w:ind w:left="0"/>
              <w:rPr>
                <w:rFonts w:ascii="Courier New" w:hAnsi="Courier New" w:cs="Courier New"/>
                <w:b/>
              </w:rPr>
            </w:pPr>
            <w:r>
              <w:rPr>
                <w:rFonts w:cs="Courier New" w:ascii="Courier New" w:hAnsi="Courier New"/>
                <w:b/>
              </w:rPr>
              <w:t>motivoRicovero</w:t>
            </w:r>
          </w:p>
          <w:p>
            <w:pPr>
              <w:pStyle w:val="Normal"/>
              <w:ind w:left="0"/>
              <w:rPr>
                <w:rFonts w:ascii="Courier New" w:hAnsi="Courier New" w:cs="Courier New"/>
                <w:b/>
              </w:rPr>
            </w:pPr>
            <w:r>
              <w:rPr>
                <w:rFonts w:cs="Courier New" w:ascii="Courier New" w:hAnsi="Courier New"/>
                <w:b/>
              </w:rPr>
              <w:t>proceduraDimissione</w:t>
            </w:r>
          </w:p>
          <w:p>
            <w:pPr>
              <w:pStyle w:val="Normal"/>
              <w:ind w:left="0"/>
              <w:rPr>
                <w:rFonts w:ascii="Courier New" w:hAnsi="Courier New" w:cs="Courier New"/>
                <w:b/>
              </w:rPr>
            </w:pPr>
            <w:r>
              <w:rPr>
                <w:rFonts w:cs="Courier New" w:ascii="Courier New" w:hAnsi="Courier New"/>
                <w:b/>
              </w:rPr>
              <w:t>provenienzaPaziente</w:t>
            </w:r>
          </w:p>
          <w:p>
            <w:pPr>
              <w:pStyle w:val="Normal"/>
              <w:ind w:left="0"/>
              <w:rPr>
                <w:rFonts w:ascii="Courier New" w:hAnsi="Courier New" w:cs="Courier New"/>
                <w:b/>
              </w:rPr>
            </w:pPr>
            <w:r>
              <w:rPr>
                <w:rFonts w:cs="Courier New" w:ascii="Courier New" w:hAnsi="Courier New"/>
                <w:b/>
              </w:rPr>
              <w:t>tipoRicovero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Scheda Dimissione Ospedaliera (SDO)</w:t>
            </w:r>
          </w:p>
        </w:tc>
      </w:tr>
      <w:tr>
        <w:trPr>
          <w:trHeight w:val="1038"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triageAccettazione</w:t>
            </w:r>
          </w:p>
          <w:p>
            <w:pPr>
              <w:pStyle w:val="Normal"/>
              <w:ind w:left="0"/>
              <w:rPr>
                <w:rFonts w:ascii="Courier New" w:hAnsi="Courier New" w:cs="Courier New"/>
                <w:b/>
              </w:rPr>
            </w:pPr>
            <w:r>
              <w:rPr>
                <w:rFonts w:cs="Courier New" w:ascii="Courier New" w:hAnsi="Courier New"/>
                <w:b/>
              </w:rPr>
              <w:t>triageDimissione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Verbale di Pronto Soccorso</w:t>
            </w:r>
          </w:p>
        </w:tc>
      </w:tr>
    </w:tbl>
    <w:p>
      <w:pPr>
        <w:pStyle w:val="Heading3"/>
        <w:rPr>
          <w:lang w:val="it-IT"/>
        </w:rPr>
      </w:pPr>
      <w:bookmarkStart w:id="96" w:name="_Toc173420518"/>
      <w:r>
        <w:rPr>
          <w:lang w:val="it-IT"/>
        </w:rPr>
        <w:t>Nuova modalità accesso in emergenza</w:t>
      </w:r>
      <w:bookmarkEnd w:id="96"/>
    </w:p>
    <w:p>
      <w:pPr>
        <w:pStyle w:val="Normal"/>
        <w:rPr/>
      </w:pPr>
      <w:r>
        <w:rPr/>
        <w:t xml:space="preserve">Per quanto riguarda l’accesso al fascicolo in modalità emergenziale, sono stati introdotte due nuove modalità, da specificare tramite il campo </w:t>
      </w:r>
      <w:r>
        <w:rPr>
          <w:b/>
          <w:bCs/>
        </w:rPr>
        <w:t xml:space="preserve">purposeOfUse. </w:t>
      </w:r>
      <w:r>
        <w:rPr/>
        <w:t>Per accedere a queste modalità, l’operatore dovrà seguire il seguente flusso:</w:t>
      </w:r>
    </w:p>
    <w:p>
      <w:pPr>
        <w:pStyle w:val="Normal"/>
        <w:rPr>
          <w:lang w:eastAsia="x-none"/>
        </w:rPr>
      </w:pPr>
      <w:r>
        <w:rPr>
          <w:lang w:eastAsia="x-none"/>
        </w:rPr>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normale ma si accorge che l’assistito non ha dato il consenso alla consultazione;</w:t>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L’operatore in caso di impossibilità a far cambiare la politica del consenso all’assistito, perché magari non è cosciente, compila un’autocertificazione per fini emergenziali;</w:t>
      </w:r>
    </w:p>
    <w:p>
      <w:pPr>
        <w:pStyle w:val="ListParagraph"/>
        <w:numPr>
          <w:ilvl w:val="0"/>
          <w:numId w:val="116"/>
        </w:numPr>
        <w:rPr>
          <w:rFonts w:ascii="Times New Roman" w:hAnsi="Times New Roman" w:eastAsia="Times New Roman"/>
          <w:sz w:val="20"/>
          <w:szCs w:val="20"/>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EPSS per vedere il SOLO documento Profilo Sanitario Sintetico. </w:t>
        <w:br/>
        <w:t xml:space="preserve">In questo caso i parametri di ricerca devono essere impostati solo ed esclusivamente con: </w:t>
        <w:br/>
        <w:t xml:space="preserve">              </w:t>
      </w:r>
      <w:r>
        <w:rPr>
          <w:rFonts w:eastAsia="Times New Roman" w:ascii="Times New Roman" w:hAnsi="Times New Roman"/>
          <w:i/>
          <w:iCs/>
          <w:sz w:val="20"/>
          <w:szCs w:val="20"/>
        </w:rPr>
        <w:t>&lt;documentTypes&gt;60591-5&lt;/documentTypes&gt;</w:t>
      </w:r>
    </w:p>
    <w:p>
      <w:pPr>
        <w:pStyle w:val="ListParagraph"/>
        <w:ind w:left="1571"/>
        <w:rPr>
          <w:rFonts w:ascii="Times New Roman" w:hAnsi="Times New Roman" w:eastAsia="Times New Roman"/>
          <w:sz w:val="20"/>
          <w:szCs w:val="20"/>
          <w:lang w:eastAsia="x-none"/>
        </w:rPr>
      </w:pPr>
      <w:r>
        <w:rPr>
          <w:rFonts w:eastAsia="Times New Roman" w:ascii="Times New Roman" w:hAnsi="Times New Roman"/>
          <w:sz w:val="20"/>
          <w:szCs w:val="20"/>
        </w:rPr>
        <w:t>In alternativa, sarà restituito un messaggio di errore.</w:t>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(compilando extra-sistema una ulteriore autocertificazione)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 ed avrà la possibilità di vedere tutti i documenti tranne quelli oscurati.</w:t>
      </w:r>
    </w:p>
    <w:p>
      <w:pPr>
        <w:pStyle w:val="Normal"/>
        <w:rPr/>
      </w:pPr>
      <w:r>
        <w:rPr/>
      </w:r>
    </w:p>
    <w:p>
      <w:pPr>
        <w:pStyle w:val="Heading2"/>
        <w:rPr>
          <w:lang w:val="it-IT"/>
        </w:rPr>
      </w:pPr>
      <w:bookmarkStart w:id="97" w:name="_Toc173420519"/>
      <w:bookmarkStart w:id="98" w:name="_Toc438993513"/>
      <w:bookmarkStart w:id="99" w:name="_Toc408843899"/>
      <w:bookmarkStart w:id="100" w:name="_Toc389584728"/>
      <w:r>
        <w:rPr>
          <w:lang w:val="it-IT"/>
        </w:rPr>
        <w:t>Web Service: retrieveDocument</w:t>
      </w:r>
      <w:bookmarkEnd w:id="97"/>
      <w:bookmarkEnd w:id="98"/>
      <w:bookmarkEnd w:id="99"/>
      <w:bookmarkEnd w:id="100"/>
    </w:p>
    <w:p>
      <w:pPr>
        <w:pStyle w:val="Normal"/>
        <w:jc w:val="both"/>
        <w:rPr/>
      </w:pPr>
      <w:r>
        <w:rP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 é</w:t>
      </w:r>
    </w:p>
    <w:p>
      <w:pPr>
        <w:pStyle w:val="Normal"/>
        <w:rPr>
          <w:color w:val="000000"/>
        </w:rPr>
      </w:pPr>
      <w:r>
        <w:rPr>
          <w:b/>
        </w:rPr>
        <w:t>Controlli:</w:t>
      </w:r>
    </w:p>
    <w:p>
      <w:pPr>
        <w:pStyle w:val="Normal"/>
        <w:numPr>
          <w:ilvl w:val="0"/>
          <w:numId w:val="156"/>
        </w:numPr>
        <w:rPr/>
      </w:pPr>
      <w:r>
        <w:rPr/>
        <w:t>Obbligatorietà dei parametri di input</w:t>
      </w:r>
    </w:p>
    <w:p>
      <w:pPr>
        <w:pStyle w:val="Normal"/>
        <w:numPr>
          <w:ilvl w:val="0"/>
          <w:numId w:val="157"/>
        </w:numPr>
        <w:rPr/>
      </w:pPr>
      <w:r>
        <w:rPr/>
        <w:t>Correttezza semantica dei parametri di input.</w:t>
      </w:r>
    </w:p>
    <w:p>
      <w:pPr>
        <w:pStyle w:val="Normal"/>
        <w:numPr>
          <w:ilvl w:val="0"/>
          <w:numId w:val="158"/>
        </w:numPr>
        <w:rPr/>
      </w:pPr>
      <w:r>
        <w:rPr/>
        <w:t>Controlli incrociati sugli attributi delle asserzioni (vedi tabella)</w:t>
      </w:r>
    </w:p>
    <w:p>
      <w:pPr>
        <w:pStyle w:val="Normal"/>
        <w:numPr>
          <w:ilvl w:val="0"/>
          <w:numId w:val="159"/>
        </w:numPr>
        <w:rPr/>
      </w:pPr>
      <w:r>
        <w:rPr/>
        <w:t xml:space="preserve">Politiche di accesso </w:t>
      </w:r>
    </w:p>
    <w:p>
      <w:pPr>
        <w:pStyle w:val="Normal"/>
        <w:rPr>
          <w:b/>
        </w:rPr>
      </w:pPr>
      <w:r>
        <w:rPr>
          <w:b/>
        </w:rPr>
      </w:r>
    </w:p>
    <w:p>
      <w:pPr>
        <w:pStyle w:val="Normal"/>
        <w:rPr>
          <w:b/>
        </w:rPr>
      </w:pPr>
      <w:r>
        <w:rPr>
          <w:b/>
        </w:rPr>
        <w:t>Asserzione</w:t>
        <w:br/>
      </w:r>
    </w:p>
    <w:p>
      <w:pPr>
        <w:pStyle w:val="Normal"/>
        <w:rPr>
          <w:b/>
        </w:rPr>
      </w:pPr>
      <w:r>
        <w:rPr>
          <w:b/>
        </w:rPr>
      </w:r>
    </w:p>
    <w:tbl>
      <w:tblPr>
        <w:tblW w:w="769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711"/>
        <w:gridCol w:w="936"/>
        <w:gridCol w:w="759"/>
        <w:gridCol w:w="3284"/>
      </w:tblGrid>
      <w:tr>
        <w:trPr/>
        <w:tc>
          <w:tcPr>
            <w:tcW w:w="271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trattamento emergenza PSS).</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processo di cura in cui è coinvolto il paziente (visita MMG/PLS, ricovero, episodio pronto soccorso, visita specialistica, personale).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assumptionOfResponsability</w:t>
            </w:r>
          </w:p>
          <w:p>
            <w:pPr>
              <w:pStyle w:val="Normal"/>
              <w:ind w:left="0"/>
              <w:rPr>
                <w:i/>
                <w:i/>
              </w:rPr>
            </w:pPr>
            <w:r>
              <w:rPr>
                <w:i/>
              </w:rPr>
            </w:r>
          </w:p>
        </w:tc>
        <w:tc>
          <w:tcPr>
            <w:tcW w:w="9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r>
    </w:p>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u w:val="single"/>
        </w:rPr>
      </w:pPr>
      <w:r>
        <w:rPr>
          <w:b/>
          <w:bCs/>
          <w:u w:val="single"/>
        </w:rPr>
      </w:r>
    </w:p>
    <w:p>
      <w:pPr>
        <w:pStyle w:val="Normal"/>
        <w:rPr>
          <w:b/>
        </w:rPr>
      </w:pPr>
      <w:r>
        <w:rPr>
          <w:b/>
        </w:rPr>
        <w:t>Controlli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772"/>
        <w:gridCol w:w="5023"/>
      </w:tblGrid>
      <w:tr>
        <w:trPr>
          <w:trHeight w:val="560" w:hRule="atLeast"/>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paziente deve essere un assistito del SSR</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l’attributo è settato a E, l’accesso è “in emergenza”, Se l’attributo è settato a EPSS l’accesso è “in emergenza PSS” e viene restituito un errore se il documento da recuperare non è un PSS</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In caso di accesso in stato di emergenza dev’essere settato a True</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il valore è V l’operatorId deve essere MMG, PLS dell’assistito, se il valore è P l’operatorId deve coincidere con l’assistito, nei restanti casi l’asserzione non è verificata</w:t>
            </w:r>
            <w:r>
              <w:rPr>
                <w:rStyle w:val="FootnoteReference"/>
              </w:rPr>
              <w:footnoteReference w:id="6"/>
            </w:r>
          </w:p>
        </w:tc>
      </w:tr>
      <w:tr>
        <w:trPr>
          <w:trHeight w:val="300" w:hRule="atLeast"/>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In caso di asserzione </w:t>
      </w:r>
      <w:r>
        <w:rPr>
          <w:i/>
          <w:iCs/>
        </w:rPr>
        <w:t>permission</w:t>
      </w:r>
      <w:r>
        <w:rPr/>
        <w:t xml:space="preserve"> valorizzata bisogna obbligatoriamente valorizzare il campo</w:t>
        <w:br/>
      </w:r>
      <w:r>
        <w:rPr>
          <w:i/>
          <w:iCs/>
        </w:rPr>
        <w:t>patientId</w:t>
      </w:r>
      <w:r>
        <w:rPr/>
        <w:t xml:space="preserve"> del body SOAP.</w:t>
        <w:b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r>
        <w:rPr>
          <w:i/>
        </w:rPr>
        <w:t xml:space="preserve"> </w:t>
      </w:r>
    </w:p>
    <w:p>
      <w:pPr>
        <w:pStyle w:val="Normal"/>
        <w:rPr>
          <w:b/>
          <w:bCs/>
        </w:rPr>
      </w:pPr>
      <w:r>
        <w:rPr>
          <w:b/>
          <w:bCs/>
        </w:rPr>
      </w:r>
    </w:p>
    <w:p>
      <w:pPr>
        <w:pStyle w:val="Heading2"/>
        <w:rPr/>
      </w:pPr>
      <w:bookmarkStart w:id="101" w:name="_Toc438993514"/>
      <w:bookmarkStart w:id="102" w:name="_Toc408843900"/>
      <w:bookmarkStart w:id="103" w:name="_Toc173420520"/>
      <w:bookmarkStart w:id="104" w:name="_Toc389584730"/>
      <w:r>
        <w:rPr>
          <w:lang w:val="it-IT"/>
        </w:rPr>
        <w:t xml:space="preserve">Web Service: </w:t>
      </w:r>
      <w:bookmarkEnd w:id="104"/>
      <w:r>
        <w:rPr>
          <w:lang w:val="it-IT"/>
        </w:rPr>
        <w:t>setWritingAgreement</w:t>
      </w:r>
      <w:bookmarkEnd w:id="101"/>
      <w:bookmarkEnd w:id="102"/>
      <w:bookmarkEnd w:id="103"/>
    </w:p>
    <w:p>
      <w:pPr>
        <w:pStyle w:val="Normal"/>
        <w:jc w:val="both"/>
        <w:rPr/>
      </w:pPr>
      <w:r>
        <w:rPr/>
        <w:t>Il servizio consente all’utente di impostare il consenso all’alimentazione del FSE di un determinato assistito.</w:t>
      </w:r>
    </w:p>
    <w:p>
      <w:pPr>
        <w:pStyle w:val="Normal"/>
        <w:rPr>
          <w:color w:val="000000"/>
        </w:rPr>
      </w:pPr>
      <w:r>
        <w:rPr>
          <w:b/>
        </w:rPr>
        <w:t>Controlli:</w:t>
      </w:r>
    </w:p>
    <w:p>
      <w:pPr>
        <w:pStyle w:val="Normal"/>
        <w:numPr>
          <w:ilvl w:val="0"/>
          <w:numId w:val="60"/>
        </w:numPr>
        <w:rPr/>
      </w:pPr>
      <w:r>
        <w:rPr/>
        <w:t>Obbligatorietà dei parametri di input</w:t>
      </w:r>
    </w:p>
    <w:p>
      <w:pPr>
        <w:pStyle w:val="Normal"/>
        <w:numPr>
          <w:ilvl w:val="0"/>
          <w:numId w:val="60"/>
        </w:numPr>
        <w:rPr/>
      </w:pPr>
      <w:r>
        <w:rPr/>
        <w:t>Correttezza semantica dei parametri di input.</w:t>
      </w:r>
    </w:p>
    <w:p>
      <w:pPr>
        <w:pStyle w:val="Normal"/>
        <w:numPr>
          <w:ilvl w:val="0"/>
          <w:numId w:val="60"/>
        </w:numPr>
        <w:rPr/>
      </w:pPr>
      <w:r>
        <w:rPr/>
        <w:t xml:space="preserve">Politiche di accesso </w:t>
      </w:r>
    </w:p>
    <w:p>
      <w:pPr>
        <w:pStyle w:val="Normal"/>
        <w:rPr/>
      </w:pPr>
      <w:r>
        <w:rPr/>
      </w:r>
    </w:p>
    <w:p>
      <w:pPr>
        <w:pStyle w:val="Normal"/>
        <w:rPr>
          <w:b/>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u w:val="single"/>
        </w:rPr>
      </w:pPr>
      <w:r>
        <w:rPr>
          <w:b/>
          <w:u w:val="single"/>
        </w:rPr>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t xml:space="preserve">Se presente e valorizzato correttamente </w:t>
            </w:r>
            <w:r>
              <w:rPr>
                <w:color w:themeColor="text1" w:val="000000"/>
              </w:rPr>
              <w:t>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Heading2"/>
        <w:rPr/>
      </w:pPr>
      <w:bookmarkStart w:id="105" w:name="_Toc173420521"/>
      <w:bookmarkStart w:id="106" w:name="_Toc438993515"/>
      <w:bookmarkStart w:id="107" w:name="_Toc408843901"/>
      <w:bookmarkStart w:id="108" w:name="_Toc389584729"/>
      <w:r>
        <w:rPr>
          <w:lang w:val="it-IT"/>
        </w:rPr>
        <w:t xml:space="preserve">Web Service: </w:t>
      </w:r>
      <w:bookmarkEnd w:id="108"/>
      <w:r>
        <w:rPr>
          <w:lang w:val="it-IT"/>
        </w:rPr>
        <w:t>getWritingAgreement</w:t>
      </w:r>
      <w:bookmarkEnd w:id="105"/>
      <w:bookmarkEnd w:id="106"/>
      <w:bookmarkEnd w:id="107"/>
    </w:p>
    <w:p>
      <w:pPr>
        <w:pStyle w:val="Normal"/>
        <w:jc w:val="both"/>
        <w:rPr/>
      </w:pPr>
      <w:r>
        <w:rPr/>
        <w:t>Il servizio consente all’utente di recuperare il consenso all’alimentazione fornito da un assistito sul proprio FSE.</w:t>
      </w:r>
    </w:p>
    <w:p>
      <w:pPr>
        <w:pStyle w:val="Normal"/>
        <w:rPr>
          <w:color w:val="000000"/>
        </w:rPr>
      </w:pPr>
      <w:r>
        <w:rPr>
          <w:b/>
        </w:rPr>
        <w:t>Controlli:</w:t>
      </w:r>
    </w:p>
    <w:p>
      <w:pPr>
        <w:pStyle w:val="Normal"/>
        <w:numPr>
          <w:ilvl w:val="0"/>
          <w:numId w:val="160"/>
        </w:numPr>
        <w:rPr/>
      </w:pPr>
      <w:r>
        <w:rPr/>
        <w:t>Obbligatorietà dei parametri di input</w:t>
      </w:r>
    </w:p>
    <w:p>
      <w:pPr>
        <w:pStyle w:val="Normal"/>
        <w:numPr>
          <w:ilvl w:val="0"/>
          <w:numId w:val="161"/>
        </w:numPr>
        <w:rPr/>
      </w:pPr>
      <w:r>
        <w:rPr/>
        <w:t>Correttezza semantica dei parametri di input.</w:t>
      </w:r>
    </w:p>
    <w:p>
      <w:pPr>
        <w:pStyle w:val="Normal"/>
        <w:rPr/>
      </w:pPr>
      <w:r>
        <w:rPr/>
      </w:r>
    </w:p>
    <w:p>
      <w:pPr>
        <w:pStyle w:val="Normal"/>
        <w:rPr>
          <w:b/>
        </w:rPr>
      </w:pPr>
      <w:r>
        <w:rPr>
          <w:b/>
        </w:rPr>
        <w:t>Asserzione</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rHeight w:val="300" w:hRule="atLeast"/>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pPr>
      <w:bookmarkStart w:id="109" w:name="_Toc173420522"/>
      <w:bookmarkStart w:id="110" w:name="_Toc438993516"/>
      <w:bookmarkStart w:id="111" w:name="_Toc408843902"/>
      <w:r>
        <w:rPr>
          <w:lang w:val="it-IT"/>
        </w:rPr>
        <w:t>Web Service: setReadingAgreement</w:t>
      </w:r>
      <w:bookmarkEnd w:id="109"/>
      <w:bookmarkEnd w:id="110"/>
      <w:bookmarkEnd w:id="111"/>
    </w:p>
    <w:p>
      <w:pPr>
        <w:pStyle w:val="Normal"/>
        <w:jc w:val="both"/>
        <w:rPr/>
      </w:pPr>
      <w:r>
        <w:rPr/>
        <w:t>Il servizio consente all’utente di impostare il consenso alla consultazione del FSE di un determinato assistito.</w:t>
      </w:r>
    </w:p>
    <w:p>
      <w:pPr>
        <w:pStyle w:val="Normal"/>
        <w:rPr>
          <w:color w:val="000000"/>
        </w:rPr>
      </w:pPr>
      <w:r>
        <w:rPr>
          <w:b/>
        </w:rPr>
        <w:t>Controlli:</w:t>
      </w:r>
    </w:p>
    <w:p>
      <w:pPr>
        <w:pStyle w:val="Normal"/>
        <w:numPr>
          <w:ilvl w:val="0"/>
          <w:numId w:val="61"/>
        </w:numPr>
        <w:rPr/>
      </w:pPr>
      <w:r>
        <w:rPr/>
        <w:t>Obbligatorietà dei parametri di input</w:t>
      </w:r>
    </w:p>
    <w:p>
      <w:pPr>
        <w:pStyle w:val="Normal"/>
        <w:numPr>
          <w:ilvl w:val="0"/>
          <w:numId w:val="61"/>
        </w:numPr>
        <w:rPr/>
      </w:pPr>
      <w:r>
        <w:rPr/>
        <w:t>Correttezza semantica dei parametri di input.</w:t>
      </w:r>
    </w:p>
    <w:p>
      <w:pPr>
        <w:pStyle w:val="Normal"/>
        <w:numPr>
          <w:ilvl w:val="0"/>
          <w:numId w:val="61"/>
        </w:numPr>
        <w:rPr/>
      </w:pPr>
      <w:r>
        <w:rPr/>
        <w:t xml:space="preserve">Politiche di accesso </w:t>
      </w:r>
    </w:p>
    <w:p>
      <w:pPr>
        <w:pStyle w:val="Normal"/>
        <w:ind w:left="1571"/>
        <w:rPr/>
      </w:pPr>
      <w:r>
        <w:rPr/>
      </w:r>
    </w:p>
    <w:p>
      <w:pPr>
        <w:pStyle w:val="Normal"/>
        <w:rPr>
          <w:b/>
        </w:rPr>
      </w:pPr>
      <w:r>
        <w:rPr>
          <w:b/>
        </w:rPr>
        <w:t>Asserzione</w:t>
        <w:br/>
      </w:r>
    </w:p>
    <w:tbl>
      <w:tblPr>
        <w:tblW w:w="733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69"/>
        <w:gridCol w:w="1485"/>
        <w:gridCol w:w="3976"/>
      </w:tblGrid>
      <w:tr>
        <w:trPr/>
        <w:tc>
          <w:tcPr>
            <w:tcW w:w="186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incrociati sulle Asserzioni</w:t>
        <w:br/>
      </w:r>
    </w:p>
    <w:tbl>
      <w:tblPr>
        <w:tblW w:w="751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412"/>
        <w:gridCol w:w="5099"/>
      </w:tblGrid>
      <w:tr>
        <w:trPr>
          <w:trHeight w:val="494" w:hRule="atLeast"/>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12" w:name="_Toc173420523"/>
      <w:bookmarkStart w:id="113" w:name="_Toc438993517"/>
      <w:bookmarkStart w:id="114" w:name="_Toc408843903"/>
      <w:r>
        <w:rPr>
          <w:lang w:val="it-IT"/>
        </w:rPr>
        <w:t>Web Service: getReadingAgreement</w:t>
      </w:r>
      <w:bookmarkEnd w:id="112"/>
      <w:bookmarkEnd w:id="113"/>
      <w:bookmarkEnd w:id="114"/>
    </w:p>
    <w:p>
      <w:pPr>
        <w:pStyle w:val="Normal"/>
        <w:jc w:val="both"/>
        <w:rPr>
          <w:b/>
        </w:rPr>
      </w:pPr>
      <w:r>
        <w:rPr/>
        <w:t>Il servizio consente all’utente di recuperare il consenso alla consultazione fornito da un assistito sul proprio FSE.</w:t>
      </w:r>
    </w:p>
    <w:p>
      <w:pPr>
        <w:pStyle w:val="Normal"/>
        <w:rPr>
          <w:color w:val="000000"/>
        </w:rPr>
      </w:pPr>
      <w:r>
        <w:rPr>
          <w:b/>
        </w:rPr>
        <w:t>Controlli:</w:t>
      </w:r>
    </w:p>
    <w:p>
      <w:pPr>
        <w:pStyle w:val="Normal"/>
        <w:numPr>
          <w:ilvl w:val="0"/>
          <w:numId w:val="62"/>
        </w:numPr>
        <w:rPr/>
      </w:pPr>
      <w:r>
        <w:rPr/>
        <w:t>Obbligatorietà dei parametri di input</w:t>
      </w:r>
    </w:p>
    <w:p>
      <w:pPr>
        <w:pStyle w:val="Normal"/>
        <w:numPr>
          <w:ilvl w:val="0"/>
          <w:numId w:val="62"/>
        </w:numPr>
        <w:rPr/>
      </w:pPr>
      <w:r>
        <w:rPr/>
        <w:t>Correttezza semantica dei parametri di input.</w:t>
      </w:r>
    </w:p>
    <w:p>
      <w:pPr>
        <w:pStyle w:val="Normal"/>
        <w:numPr>
          <w:ilvl w:val="0"/>
          <w:numId w:val="62"/>
        </w:numPr>
        <w:rPr/>
      </w:pPr>
      <w:r>
        <w:rPr/>
        <w:t xml:space="preserve">Politiche di accesso </w:t>
      </w:r>
    </w:p>
    <w:p>
      <w:pPr>
        <w:pStyle w:val="Normal"/>
        <w:rPr>
          <w:b/>
          <w:bCs/>
        </w:rPr>
      </w:pPr>
      <w:r>
        <w:rPr>
          <w:b/>
          <w:bCs/>
        </w:rPr>
      </w:r>
    </w:p>
    <w:p>
      <w:pPr>
        <w:pStyle w:val="Normal"/>
        <w:rPr>
          <w:b/>
        </w:rPr>
      </w:pPr>
      <w:r>
        <w:rPr>
          <w:b/>
        </w:rPr>
        <w:t>Asserzioni</w:t>
        <w:br/>
      </w:r>
    </w:p>
    <w:tbl>
      <w:tblPr>
        <w:tblW w:w="776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07"/>
        <w:gridCol w:w="1487"/>
        <w:gridCol w:w="4466"/>
      </w:tblGrid>
      <w:tr>
        <w:trPr/>
        <w:tc>
          <w:tcPr>
            <w:tcW w:w="180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53"/>
        <w:gridCol w:w="5242"/>
      </w:tblGrid>
      <w:tr>
        <w:trPr>
          <w:trHeight w:val="494" w:hRule="atLeast"/>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b/>
          <w:bCs/>
        </w:rPr>
      </w:pPr>
      <w:r>
        <w:rPr>
          <w:b/>
          <w:bCs/>
        </w:rPr>
      </w:r>
    </w:p>
    <w:p>
      <w:pPr>
        <w:pStyle w:val="Heading2"/>
        <w:rPr>
          <w:lang w:val="it-IT"/>
        </w:rPr>
      </w:pPr>
      <w:bookmarkStart w:id="115" w:name="_Toc173420524"/>
      <w:bookmarkStart w:id="116" w:name="_Toc438993520"/>
      <w:bookmarkStart w:id="117" w:name="_Toc408843906"/>
      <w:r>
        <w:rPr>
          <w:lang w:val="it-IT"/>
        </w:rPr>
        <w:t>Web Service: blindDocument</w:t>
      </w:r>
      <w:bookmarkEnd w:id="115"/>
      <w:bookmarkEnd w:id="116"/>
      <w:bookmarkEnd w:id="117"/>
    </w:p>
    <w:p>
      <w:pPr>
        <w:pStyle w:val="Normal"/>
        <w:jc w:val="both"/>
        <w:rPr/>
      </w:pPr>
      <w:r>
        <w:rPr/>
        <w:t>Il servizio consente all’utente di oscurare o revocare l’oscuramento su un singolo documento del FSE di un assistito. Se ci sono ricette collegate al documento tramite un NRE allora vengono allineate al valore di oscuramento del documento in input al servizio.</w:t>
      </w:r>
    </w:p>
    <w:p>
      <w:pPr>
        <w:pStyle w:val="Normal"/>
        <w:rPr>
          <w:color w:val="000000"/>
        </w:rPr>
      </w:pPr>
      <w:r>
        <w:rPr>
          <w:b/>
        </w:rPr>
        <w:t>Controlli:</w:t>
      </w:r>
    </w:p>
    <w:p>
      <w:pPr>
        <w:pStyle w:val="Normal"/>
        <w:numPr>
          <w:ilvl w:val="0"/>
          <w:numId w:val="63"/>
        </w:numPr>
        <w:rPr/>
      </w:pPr>
      <w:r>
        <w:rPr/>
        <w:t>Obbligatorietà dei parametri di input</w:t>
      </w:r>
    </w:p>
    <w:p>
      <w:pPr>
        <w:pStyle w:val="Normal"/>
        <w:numPr>
          <w:ilvl w:val="0"/>
          <w:numId w:val="63"/>
        </w:numPr>
        <w:rPr/>
      </w:pPr>
      <w:r>
        <w:rPr/>
        <w:t>Correttezza semantica dei parametri di input.</w:t>
      </w:r>
    </w:p>
    <w:p>
      <w:pPr>
        <w:pStyle w:val="Normal"/>
        <w:numPr>
          <w:ilvl w:val="0"/>
          <w:numId w:val="63"/>
        </w:numPr>
        <w:rPr/>
      </w:pPr>
      <w:r>
        <w:rPr/>
        <w:t xml:space="preserve">Politiche di accesso </w:t>
      </w:r>
    </w:p>
    <w:p>
      <w:pPr>
        <w:pStyle w:val="Normal"/>
        <w:rPr>
          <w:b/>
        </w:rPr>
      </w:pPr>
      <w:r>
        <w:rPr>
          <w:b/>
        </w:rPr>
        <w:t>Asserzioni</w:t>
        <w:br/>
      </w:r>
    </w:p>
    <w:tbl>
      <w:tblPr>
        <w:tblW w:w="7663"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43"/>
        <w:gridCol w:w="1489"/>
        <w:gridCol w:w="4031"/>
      </w:tblGrid>
      <w:tr>
        <w:trPr/>
        <w:tc>
          <w:tcPr>
            <w:tcW w:w="21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5"/>
        <w:gridCol w:w="5270"/>
      </w:tblGrid>
      <w:tr>
        <w:trPr>
          <w:trHeight w:val="494" w:hRule="atLeast"/>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b/>
          <w:bCs/>
        </w:rPr>
      </w:pPr>
      <w:r>
        <w:rPr>
          <w:b/>
          <w:bCs/>
        </w:rPr>
      </w:r>
    </w:p>
    <w:p>
      <w:pPr>
        <w:pStyle w:val="Normal"/>
        <w:rPr>
          <w:b/>
          <w:bCs/>
        </w:rPr>
      </w:pPr>
      <w:r>
        <w:rPr>
          <w:b/>
          <w:bCs/>
        </w:rPr>
      </w:r>
    </w:p>
    <w:p>
      <w:pPr>
        <w:pStyle w:val="Heading2"/>
        <w:rPr>
          <w:lang w:val="it-IT"/>
        </w:rPr>
      </w:pPr>
      <w:bookmarkStart w:id="118" w:name="_Toc173420525"/>
      <w:bookmarkStart w:id="119" w:name="_Toc438993521"/>
      <w:r>
        <w:rPr>
          <w:lang w:val="it-IT"/>
        </w:rPr>
        <w:t>Web Service: getAccessLog</w:t>
      </w:r>
      <w:bookmarkEnd w:id="118"/>
      <w:bookmarkEnd w:id="119"/>
    </w:p>
    <w:p>
      <w:pPr>
        <w:pStyle w:val="Normal"/>
        <w:jc w:val="both"/>
        <w:rPr/>
      </w:pPr>
      <w:r>
        <w:rPr/>
        <w:t>Il servizio consente all’utente di monitorare gli accessi al FSE di un assistito.</w:t>
      </w:r>
    </w:p>
    <w:p>
      <w:pPr>
        <w:pStyle w:val="Normal"/>
        <w:rPr>
          <w:color w:val="000000"/>
        </w:rPr>
      </w:pPr>
      <w:r>
        <w:rPr>
          <w:b/>
        </w:rPr>
        <w:t>Controlli:</w:t>
      </w:r>
    </w:p>
    <w:p>
      <w:pPr>
        <w:pStyle w:val="Normal"/>
        <w:numPr>
          <w:ilvl w:val="0"/>
          <w:numId w:val="64"/>
        </w:numPr>
        <w:rPr/>
      </w:pPr>
      <w:r>
        <w:rPr/>
        <w:t>Obbligatorietà dei parametri di input</w:t>
      </w:r>
    </w:p>
    <w:p>
      <w:pPr>
        <w:pStyle w:val="Normal"/>
        <w:numPr>
          <w:ilvl w:val="0"/>
          <w:numId w:val="64"/>
        </w:numPr>
        <w:rPr/>
      </w:pPr>
      <w:r>
        <w:rPr/>
        <w:t>Correttezza semantica dei parametri di input.</w:t>
      </w:r>
    </w:p>
    <w:p>
      <w:pPr>
        <w:pStyle w:val="Normal"/>
        <w:numPr>
          <w:ilvl w:val="0"/>
          <w:numId w:val="64"/>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20" w:name="_Toc173420526"/>
      <w:r>
        <w:rPr>
          <w:lang w:val="it-IT"/>
        </w:rPr>
        <w:t>Web Service: getDocumentBlindStatus</w:t>
      </w:r>
      <w:bookmarkEnd w:id="120"/>
    </w:p>
    <w:p>
      <w:pPr>
        <w:pStyle w:val="Normal"/>
        <w:ind w:left="0"/>
        <w:jc w:val="both"/>
        <w:rPr/>
      </w:pPr>
      <w:r>
        <w:rP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pPr>
        <w:pStyle w:val="Normal"/>
        <w:ind w:left="0"/>
        <w:jc w:val="both"/>
        <w:rPr>
          <w:color w:val="000000"/>
        </w:rPr>
      </w:pPr>
      <w:r>
        <w:rPr>
          <w:b/>
        </w:rPr>
        <w:t>Controlli:</w:t>
      </w:r>
    </w:p>
    <w:p>
      <w:pPr>
        <w:pStyle w:val="Normal"/>
        <w:numPr>
          <w:ilvl w:val="0"/>
          <w:numId w:val="64"/>
        </w:numPr>
        <w:rPr/>
      </w:pPr>
      <w:r>
        <w:rPr/>
        <w:t>Obbligatorietà dei parametri di input</w:t>
      </w:r>
    </w:p>
    <w:p>
      <w:pPr>
        <w:pStyle w:val="Normal"/>
        <w:numPr>
          <w:ilvl w:val="0"/>
          <w:numId w:val="64"/>
        </w:numPr>
        <w:rPr/>
      </w:pPr>
      <w:r>
        <w:rPr/>
        <w:t>Correttezza semantica dei parametri di input.</w:t>
      </w:r>
    </w:p>
    <w:p>
      <w:pPr>
        <w:pStyle w:val="Normal"/>
        <w:numPr>
          <w:ilvl w:val="0"/>
          <w:numId w:val="64"/>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pPr>
      <w:r>
        <w:rPr/>
      </w:r>
    </w:p>
    <w:p>
      <w:pPr>
        <w:pStyle w:val="Heading2"/>
        <w:rPr>
          <w:lang w:val="it-IT"/>
        </w:rPr>
      </w:pPr>
      <w:bookmarkStart w:id="121" w:name="_Toc173420527"/>
      <w:r>
        <w:rPr/>
        <w:t>Web Service: setPreviousAgreement</w:t>
      </w:r>
      <w:bookmarkEnd w:id="121"/>
    </w:p>
    <w:p>
      <w:pPr>
        <w:pStyle w:val="Normal"/>
        <w:ind w:left="0"/>
        <w:jc w:val="both"/>
        <w:rPr/>
      </w:pPr>
      <w:r>
        <w:rPr/>
        <w:t>Il servizio consente all’utente di impostare il consenso al pregresso sul FSE di un determinato assistito.</w:t>
      </w:r>
    </w:p>
    <w:p>
      <w:pPr>
        <w:pStyle w:val="Normal"/>
        <w:ind w:left="0"/>
        <w:rPr>
          <w:color w:val="000000"/>
        </w:rPr>
      </w:pPr>
      <w:r>
        <w:rPr>
          <w:b/>
        </w:rPr>
        <w:t>Controlli:</w:t>
      </w:r>
    </w:p>
    <w:p>
      <w:pPr>
        <w:pStyle w:val="Normal"/>
        <w:numPr>
          <w:ilvl w:val="0"/>
          <w:numId w:val="94"/>
        </w:numPr>
        <w:rPr/>
      </w:pPr>
      <w:r>
        <w:rPr/>
        <w:t>Obbligatorietà dei parametri di input</w:t>
      </w:r>
    </w:p>
    <w:p>
      <w:pPr>
        <w:pStyle w:val="Normal"/>
        <w:numPr>
          <w:ilvl w:val="0"/>
          <w:numId w:val="94"/>
        </w:numPr>
        <w:rPr/>
      </w:pPr>
      <w:r>
        <w:rPr/>
        <w:t>Correttezza semantica dei parametri di input.</w:t>
      </w:r>
    </w:p>
    <w:p>
      <w:pPr>
        <w:pStyle w:val="Normal"/>
        <w:numPr>
          <w:ilvl w:val="0"/>
          <w:numId w:val="94"/>
        </w:numPr>
        <w:rPr/>
      </w:pPr>
      <w:r>
        <w:rPr/>
        <w:t xml:space="preserve">Politiche di accesso </w:t>
      </w:r>
    </w:p>
    <w:p>
      <w:pPr>
        <w:pStyle w:val="Normal"/>
        <w:ind w:left="1571"/>
        <w:rPr/>
      </w:pPr>
      <w:r>
        <w:rPr/>
      </w:r>
    </w:p>
    <w:p>
      <w:pPr>
        <w:pStyle w:val="Normal"/>
        <w:ind w:left="993"/>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b/>
        </w:rPr>
      </w:pPr>
      <w:r>
        <w:rPr>
          <w:b/>
        </w:rPr>
        <w:t>Controlli incrociati sulle Asserzioni</w:t>
      </w:r>
    </w:p>
    <w:tbl>
      <w:tblPr>
        <w:tblpPr w:vertAnchor="text" w:horzAnchor="margin" w:tblpXSpec="center" w:leftFromText="141" w:rightFromText="141" w:tblpY="4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Heading2"/>
        <w:rPr>
          <w:lang w:val="it-IT"/>
        </w:rPr>
      </w:pPr>
      <w:bookmarkStart w:id="122" w:name="_Toc173420528"/>
      <w:r>
        <w:rPr/>
        <w:t>Web Service: getPreviousAgreement</w:t>
      </w:r>
      <w:bookmarkEnd w:id="122"/>
    </w:p>
    <w:p>
      <w:pPr>
        <w:pStyle w:val="Normal"/>
        <w:ind w:left="0"/>
        <w:jc w:val="both"/>
        <w:rPr/>
      </w:pPr>
      <w:r>
        <w:rPr/>
        <w:t>Il servizio consente all’utente di recuperare il consenso al pregresso fornito da un assistito sul proprio FSE.</w:t>
      </w:r>
    </w:p>
    <w:p>
      <w:pPr>
        <w:pStyle w:val="Normal"/>
        <w:ind w:left="0"/>
        <w:rPr>
          <w:color w:val="000000"/>
        </w:rPr>
      </w:pPr>
      <w:r>
        <w:rPr>
          <w:b/>
        </w:rPr>
        <w:t>Controlli:</w:t>
      </w:r>
    </w:p>
    <w:p>
      <w:pPr>
        <w:pStyle w:val="Normal"/>
        <w:numPr>
          <w:ilvl w:val="0"/>
          <w:numId w:val="95"/>
        </w:numPr>
        <w:rPr/>
      </w:pPr>
      <w:r>
        <w:rPr/>
        <w:t>Obbligatorietà dei parametri di input</w:t>
      </w:r>
    </w:p>
    <w:p>
      <w:pPr>
        <w:pStyle w:val="Normal"/>
        <w:numPr>
          <w:ilvl w:val="0"/>
          <w:numId w:val="95"/>
        </w:numPr>
        <w:rPr/>
      </w:pPr>
      <w:r>
        <w:rPr/>
        <w:t>Correttezza semantica dei parametri di input.</w:t>
      </w:r>
    </w:p>
    <w:p>
      <w:pPr>
        <w:pStyle w:val="Normal"/>
        <w:rPr/>
      </w:pPr>
      <w:r>
        <w:rPr/>
      </w:r>
    </w:p>
    <w:p>
      <w:pPr>
        <w:pStyle w:val="Normal"/>
        <w:rPr>
          <w:b/>
        </w:rPr>
      </w:pPr>
      <w:r>
        <w:rPr>
          <w:b/>
        </w:rPr>
        <w:t>Asserzioni</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r>
    </w:p>
    <w:p>
      <w:pPr>
        <w:pStyle w:val="Normal"/>
        <w:rPr/>
      </w:pPr>
      <w:r>
        <w:rPr>
          <w:b/>
        </w:rPr>
        <w:t xml:space="preserve"> </w:t>
      </w:r>
      <w:r>
        <w:rPr>
          <w:b/>
        </w:rPr>
        <w:t>Controlli incrociati sulle Asserzioni</w:t>
      </w:r>
    </w:p>
    <w:tbl>
      <w:tblPr>
        <w:tblpPr w:vertAnchor="text" w:horzAnchor="margin" w:tblpXSpec="center" w:leftFromText="141" w:rightFromText="141" w:tblpY="5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rPr/>
      </w:pPr>
      <w:r>
        <w:rPr>
          <w:b/>
        </w:rPr>
        <w:br/>
      </w:r>
    </w:p>
    <w:p>
      <w:pPr>
        <w:pStyle w:val="Normal"/>
        <w:rPr/>
      </w:pPr>
      <w:r>
        <w:rPr/>
        <w:t>Il consenso al pregresso viene posto a “no” quando viene revocato il consenso all’alimentazione.</w:t>
      </w:r>
      <w:r>
        <w:br w:type="page"/>
      </w:r>
    </w:p>
    <w:p>
      <w:pPr>
        <w:pStyle w:val="Heading2"/>
        <w:keepLines w:val="false"/>
        <w:numPr>
          <w:ilvl w:val="1"/>
          <w:numId w:val="98"/>
        </w:numPr>
        <w:spacing w:lineRule="auto" w:line="240" w:before="0" w:after="0"/>
        <w:ind w:hanging="0" w:left="0"/>
        <w:rPr/>
      </w:pPr>
      <w:bookmarkStart w:id="123" w:name="_Toc173420529"/>
      <w:r>
        <w:rPr>
          <w:lang w:val="it-IT"/>
        </w:rPr>
        <w:t>9.16.</w:t>
        <w:tab/>
      </w:r>
      <w:r>
        <w:rPr/>
        <w:t>Web Service: setDisclosure</w:t>
      </w:r>
      <w:bookmarkEnd w:id="123"/>
    </w:p>
    <w:p>
      <w:pPr>
        <w:pStyle w:val="Normal"/>
        <w:ind w:left="0"/>
        <w:jc w:val="both"/>
        <w:rPr/>
      </w:pPr>
      <w:r>
        <w:rPr/>
        <w:t>Il servizio consente all’utente di impostare per un determinato assistito l’accettazione dell’informativa privacy più recente.</w:t>
      </w:r>
    </w:p>
    <w:p>
      <w:pPr>
        <w:pStyle w:val="Normal"/>
        <w:jc w:val="both"/>
        <w:rPr/>
      </w:pPr>
      <w:r>
        <w:rPr/>
      </w:r>
    </w:p>
    <w:p>
      <w:pPr>
        <w:pStyle w:val="Normal"/>
        <w:ind w:left="0"/>
        <w:rPr>
          <w:b/>
        </w:rPr>
      </w:pPr>
      <w:r>
        <w:rPr>
          <w:b/>
        </w:rPr>
        <w:t>Controlli:</w:t>
      </w:r>
    </w:p>
    <w:p>
      <w:pPr>
        <w:pStyle w:val="Normal"/>
        <w:numPr>
          <w:ilvl w:val="0"/>
          <w:numId w:val="99"/>
        </w:numPr>
        <w:rPr/>
      </w:pPr>
      <w:r>
        <w:rPr/>
        <w:t>Obbligatorietà dei parametri di input</w:t>
      </w:r>
    </w:p>
    <w:p>
      <w:pPr>
        <w:pStyle w:val="Normal"/>
        <w:numPr>
          <w:ilvl w:val="0"/>
          <w:numId w:val="99"/>
        </w:numPr>
        <w:rPr/>
      </w:pPr>
      <w:r>
        <w:rPr/>
        <w:t>Correttezza semantica dei parametri di input.</w:t>
      </w:r>
    </w:p>
    <w:p>
      <w:pPr>
        <w:pStyle w:val="Normal"/>
        <w:ind w:left="1571"/>
        <w:rPr/>
      </w:pPr>
      <w:r>
        <w:rPr/>
      </w:r>
    </w:p>
    <w:p>
      <w:pPr>
        <w:pStyle w:val="Normal"/>
        <w:ind w:left="993"/>
        <w:rPr>
          <w:b/>
        </w:rPr>
      </w:pPr>
      <w:r>
        <w:rPr>
          <w:b/>
        </w:rPr>
        <w:t>Asserzioni</w:t>
        <w:br/>
      </w:r>
    </w:p>
    <w:tbl>
      <w:tblPr>
        <w:tblW w:w="7452"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1725"/>
        <w:gridCol w:w="1795"/>
        <w:gridCol w:w="3932"/>
      </w:tblGrid>
      <w:tr>
        <w:trPr/>
        <w:tc>
          <w:tcPr>
            <w:tcW w:w="1725" w:type="dxa"/>
            <w:tcBorders>
              <w:top w:val="single" w:sz="4" w:space="0" w:color="000000"/>
              <w:left w:val="single" w:sz="4" w:space="0" w:color="000000"/>
              <w:bottom w:val="single" w:sz="4" w:space="0" w:color="000000"/>
            </w:tcBorders>
            <w:shd w:color="auto" w:fill="auto" w:val="clear"/>
          </w:tcPr>
          <w:p>
            <w:pPr>
              <w:pStyle w:val="Normal"/>
              <w:spacing w:before="120" w:after="0"/>
              <w:ind w:left="20"/>
              <w:jc w:val="center"/>
              <w:rPr>
                <w:b/>
              </w:rPr>
            </w:pPr>
            <w:r>
              <w:rPr>
                <w:b/>
              </w:rPr>
              <w:t>Attributo</w:t>
            </w:r>
          </w:p>
        </w:tc>
        <w:tc>
          <w:tcPr>
            <w:tcW w:w="1795" w:type="dxa"/>
            <w:tcBorders>
              <w:top w:val="single" w:sz="4" w:space="0" w:color="000000"/>
              <w:left w:val="single" w:sz="4" w:space="0" w:color="000000"/>
              <w:bottom w:val="single" w:sz="4" w:space="0" w:color="000000"/>
            </w:tcBorders>
            <w:shd w:color="auto" w:fill="F2F2F2" w:val="clear"/>
          </w:tcPr>
          <w:p>
            <w:pPr>
              <w:pStyle w:val="Normal"/>
              <w:spacing w:before="120" w:after="0"/>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20"/>
              <w:jc w:val="center"/>
              <w:rPr>
                <w:b/>
              </w:rPr>
            </w:pPr>
            <w:r>
              <w:rPr>
                <w:b/>
              </w:rPr>
              <w:t>Descrizione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pPr>
            <w:r>
              <w:rPr>
                <w:i/>
              </w:rPr>
              <w:t>created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pPr>
            <w:r>
              <w:rPr>
                <w:i/>
              </w:rPr>
              <w:t>nonce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ruolo dell’operatorId</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pPr>
      <w:r>
        <w:rPr>
          <w:rFonts w:eastAsia="Times New Roman" w:ascii="Times New Roman" w:hAnsi="Times New Roman"/>
          <w:b/>
          <w:bCs/>
          <w:sz w:val="20"/>
          <w:szCs w:val="20"/>
          <w:lang w:eastAsia="it-IT"/>
        </w:rPr>
        <w:t>Controlli incrociati sulle Asserzioni</w:t>
      </w:r>
      <w:r>
        <w:rPr>
          <w:b/>
          <w:lang w:eastAsia="it-IT"/>
        </w:rPr>
        <mc:AlternateContent>
          <mc:Choice Requires="wps">
            <w:drawing>
              <wp:anchor behindDoc="0" distT="0" distB="0" distL="89535" distR="89535" simplePos="0" locked="0" layoutInCell="0" allowOverlap="1" relativeHeight="41">
                <wp:simplePos x="0" y="0"/>
                <wp:positionH relativeFrom="margin">
                  <wp:align>center</wp:align>
                </wp:positionH>
                <wp:positionV relativeFrom="paragraph">
                  <wp:posOffset>313055</wp:posOffset>
                </wp:positionV>
                <wp:extent cx="5184140" cy="1889125"/>
                <wp:effectExtent l="0" t="0" r="0" b="0"/>
                <wp:wrapSquare wrapText="bothSides"/>
                <wp:docPr id="5" name="Cornice4"/>
                <a:graphic xmlns:a="http://schemas.openxmlformats.org/drawingml/2006/main">
                  <a:graphicData uri="http://schemas.microsoft.com/office/word/2010/wordprocessingShape">
                    <wps:wsp>
                      <wps:cNvSpPr/>
                      <wps:spPr>
                        <a:xfrm>
                          <a:off x="0" y="0"/>
                          <a:ext cx="5184000" cy="1889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la struttura deve rientrare in una delle strutture associate all’operatorId nel SIST</w:t>
                                  </w:r>
                                </w:p>
                              </w:tc>
                            </w:tr>
                          </w:tbl>
                          <w:p>
                            <w:pPr>
                              <w:pStyle w:val="FrameContents"/>
                              <w:rPr/>
                            </w:pPr>
                            <w:r>
                              <w:rPr/>
                            </w:r>
                          </w:p>
                        </w:txbxContent>
                      </wps:txbx>
                      <wps:bodyPr anchor="t">
                        <a:noAutofit/>
                      </wps:bodyPr>
                    </wps:wsp>
                  </a:graphicData>
                </a:graphic>
              </wp:anchor>
            </w:drawing>
          </mc:Choice>
          <mc:Fallback>
            <w:pict>
              <v:rect id="shape_0" ID="Cornice4" path="m0,0l-2147483645,0l-2147483645,-2147483646l0,-2147483646xe" fillcolor="white" stroked="f" o:allowincell="f" style="position:absolute;margin-left:4.95pt;margin-top:24.65pt;width:408.15pt;height:148.7pt;mso-wrap-style:none;v-text-anchor:middle;mso-position-horizontal:center;mso-position-horizontal-relative:margin">
                <v:fill o:detectmouseclick="t" type="solid" color2="black" opacity="0"/>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la struttura deve rientrare in una delle strutture associate all’operatorId nel SIST</w:t>
                            </w:r>
                          </w:p>
                        </w:tc>
                      </w:tr>
                    </w:tbl>
                    <w:p>
                      <w:pPr>
                        <w:pStyle w:val="FrameContents"/>
                        <w:rPr/>
                      </w:pPr>
                      <w:r>
                        <w:rPr/>
                      </w:r>
                    </w:p>
                  </w:txbxContent>
                </v:textbox>
                <w10:wrap type="square"/>
              </v:rect>
            </w:pict>
          </mc:Fallback>
        </mc:AlternateContent>
      </w:r>
      <w:r>
        <w:rPr>
          <w:b/>
          <w:lang w:eastAsia="it-IT"/>
        </w:rPr>
        <w:br/>
      </w:r>
    </w:p>
    <w:p>
      <w:pPr>
        <w:pStyle w:val="Heading2"/>
        <w:keepLines w:val="false"/>
        <w:spacing w:lineRule="auto" w:line="240"/>
        <w:rPr/>
      </w:pPr>
      <w:bookmarkStart w:id="124" w:name="_Toc173420530"/>
      <w:r>
        <w:rPr>
          <w:lang w:val="it-IT"/>
        </w:rPr>
        <w:t>9.17.</w:t>
      </w:r>
      <w:r>
        <w:rPr/>
        <w:t>Web Service: getAgreements</w:t>
      </w:r>
      <w:bookmarkEnd w:id="124"/>
    </w:p>
    <w:p>
      <w:pPr>
        <w:pStyle w:val="Normal"/>
        <w:ind w:left="0"/>
        <w:jc w:val="both"/>
        <w:rPr/>
      </w:pPr>
      <w:r>
        <w:rP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pPr>
        <w:pStyle w:val="Normal"/>
        <w:ind w:left="0"/>
        <w:rPr>
          <w:b/>
        </w:rPr>
      </w:pPr>
      <w:r>
        <w:rPr>
          <w:b/>
        </w:rPr>
        <w:t>Controlli:</w:t>
      </w:r>
    </w:p>
    <w:p>
      <w:pPr>
        <w:pStyle w:val="Normal"/>
        <w:numPr>
          <w:ilvl w:val="0"/>
          <w:numId w:val="100"/>
        </w:numPr>
        <w:rPr/>
      </w:pPr>
      <w:r>
        <w:rPr/>
        <w:t>Obbligatorietà dei parametri di input</w:t>
      </w:r>
    </w:p>
    <w:p>
      <w:pPr>
        <w:pStyle w:val="Normal"/>
        <w:numPr>
          <w:ilvl w:val="0"/>
          <w:numId w:val="100"/>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shd w:color="auto" w:fill="auto" w:val="clear"/>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dell’operatore sanitario o dell’assistito (codice fiscale)</w:t>
            </w:r>
          </w:p>
          <w:p>
            <w:pPr>
              <w:pStyle w:val="Normal"/>
              <w:ind w:left="3"/>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bl>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mc:AlternateContent>
          <mc:Choice Requires="wps">
            <w:drawing>
              <wp:anchor behindDoc="0" distT="0" distB="0" distL="89535" distR="89535" simplePos="0" locked="0" layoutInCell="0" allowOverlap="1" relativeHeight="45">
                <wp:simplePos x="0" y="0"/>
                <wp:positionH relativeFrom="margin">
                  <wp:posOffset>76200</wp:posOffset>
                </wp:positionH>
                <wp:positionV relativeFrom="paragraph">
                  <wp:posOffset>33655</wp:posOffset>
                </wp:positionV>
                <wp:extent cx="5165090" cy="1718310"/>
                <wp:effectExtent l="0" t="0" r="0" b="0"/>
                <wp:wrapSquare wrapText="bothSides"/>
                <wp:docPr id="6" name="Cornice5"/>
                <a:graphic xmlns:a="http://schemas.openxmlformats.org/drawingml/2006/main">
                  <a:graphicData uri="http://schemas.microsoft.com/office/word/2010/wordprocessingShape">
                    <wps:wsp>
                      <wps:cNvSpPr/>
                      <wps:spPr>
                        <a:xfrm>
                          <a:off x="0" y="0"/>
                          <a:ext cx="5164920" cy="1718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wps:txbx>
                      <wps:bodyPr anchor="t">
                        <a:noAutofit/>
                      </wps:bodyPr>
                    </wps:wsp>
                  </a:graphicData>
                </a:graphic>
              </wp:anchor>
            </w:drawing>
          </mc:Choice>
          <mc:Fallback>
            <w:pict>
              <v:rect id="shape_0" ID="Cornice5" path="m0,0l-2147483645,0l-2147483645,-2147483646l0,-2147483646xe" fillcolor="white" stroked="f" o:allowincell="f" style="position:absolute;margin-left:6pt;margin-top:2.65pt;width:406.65pt;height:135.25pt;mso-wrap-style:none;v-text-anchor:middle;mso-position-horizontal-relative:margin">
                <v:fill o:detectmouseclick="t" type="solid" color2="black" opacity="0"/>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v:textbox>
                <w10:wrap type="square"/>
              </v:rect>
            </w:pict>
          </mc:Fallback>
        </mc:AlternateContent>
      </w:r>
    </w:p>
    <w:p>
      <w:pPr>
        <w:pStyle w:val="Heading2"/>
        <w:numPr>
          <w:ilvl w:val="0"/>
          <w:numId w:val="0"/>
        </w:numPr>
        <w:ind w:hanging="0" w:left="0"/>
        <w:rPr>
          <w:lang w:val="it-IT"/>
        </w:rPr>
      </w:pPr>
      <w:bookmarkStart w:id="125" w:name="_Toc173420531"/>
      <w:r>
        <w:rPr>
          <w:lang w:val="it-IT"/>
        </w:rPr>
        <w:t>9.18. Web Service: setAgreements</w:t>
      </w:r>
      <w:bookmarkEnd w:id="125"/>
    </w:p>
    <w:p>
      <w:pPr>
        <w:pStyle w:val="Normal"/>
        <w:rPr>
          <w:lang w:eastAsia="x-none"/>
        </w:rPr>
      </w:pPr>
      <w:r>
        <w:rPr>
          <w:lang w:eastAsia="x-none"/>
        </w:rPr>
      </w:r>
    </w:p>
    <w:p>
      <w:pPr>
        <w:pStyle w:val="Normal"/>
        <w:ind w:left="0"/>
        <w:jc w:val="both"/>
        <w:rPr/>
      </w:pPr>
      <w:r>
        <w:rPr/>
        <w:t xml:space="preserve">Il servizio consente all’utente di impostare contestualmente il consenso all'alimentazione, consultazione, prevenzione e profilassi relativamente ad un assistito, con le relative date in cui sono stati impostati. </w:t>
      </w:r>
    </w:p>
    <w:p>
      <w:pPr>
        <w:pStyle w:val="Normal"/>
        <w:ind w:left="0"/>
        <w:jc w:val="both"/>
        <w:rPr/>
      </w:pPr>
      <w:r>
        <w:rPr/>
      </w:r>
    </w:p>
    <w:p>
      <w:pPr>
        <w:pStyle w:val="Normal"/>
        <w:ind w:left="0"/>
        <w:rPr>
          <w:b/>
        </w:rPr>
      </w:pPr>
      <w:r>
        <w:rPr>
          <w:b/>
        </w:rPr>
        <w:t>Controlli:</w:t>
      </w:r>
    </w:p>
    <w:p>
      <w:pPr>
        <w:pStyle w:val="Normal"/>
        <w:numPr>
          <w:ilvl w:val="0"/>
          <w:numId w:val="104"/>
        </w:numPr>
        <w:rPr/>
      </w:pPr>
      <w:r>
        <w:rPr/>
        <w:t>Obbligatorietà dei parametri di input</w:t>
      </w:r>
    </w:p>
    <w:p>
      <w:pPr>
        <w:pStyle w:val="Normal"/>
        <w:numPr>
          <w:ilvl w:val="0"/>
          <w:numId w:val="104"/>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shd w:color="auto" w:fill="auto" w:val="clear"/>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dell’operatore sanitario o dell’assistito (codice fiscale)</w:t>
            </w:r>
          </w:p>
          <w:p>
            <w:pPr>
              <w:pStyle w:val="Normal"/>
              <w:ind w:left="3"/>
              <w:rPr/>
            </w:pPr>
            <w:r>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enviromentLocality</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No</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Luogo dal quale l’operatorId opera</w:t>
            </w:r>
          </w:p>
          <w:p>
            <w:pPr>
              <w:pStyle w:val="Normal"/>
              <w:ind w:left="3"/>
              <w:rPr>
                <w:i/>
                <w:i/>
              </w:rPr>
            </w:pPr>
            <w:r>
              <w:rPr>
                <w:i/>
              </w:rPr>
              <w:t>Codice regionale Medico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bl>
    <w:p>
      <w:pPr>
        <w:pStyle w:val="Normal"/>
        <w:rPr/>
      </w:pPr>
      <w:r>
        <w:rPr/>
      </w:r>
    </w:p>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mc:AlternateContent>
          <mc:Choice Requires="wps">
            <w:drawing>
              <wp:anchor behindDoc="0" distT="0" distB="0" distL="89535" distR="89535" simplePos="0" locked="0" layoutInCell="0" allowOverlap="1" relativeHeight="49">
                <wp:simplePos x="0" y="0"/>
                <wp:positionH relativeFrom="margin">
                  <wp:posOffset>137160</wp:posOffset>
                </wp:positionH>
                <wp:positionV relativeFrom="paragraph">
                  <wp:posOffset>33655</wp:posOffset>
                </wp:positionV>
                <wp:extent cx="5048250" cy="1718310"/>
                <wp:effectExtent l="0" t="0" r="0" b="0"/>
                <wp:wrapSquare wrapText="bothSides"/>
                <wp:docPr id="7" name="Cornice6"/>
                <a:graphic xmlns:a="http://schemas.openxmlformats.org/drawingml/2006/main">
                  <a:graphicData uri="http://schemas.microsoft.com/office/word/2010/wordprocessingShape">
                    <wps:wsp>
                      <wps:cNvSpPr/>
                      <wps:spPr>
                        <a:xfrm>
                          <a:off x="0" y="0"/>
                          <a:ext cx="5048280" cy="1718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wps:txbx>
                      <wps:bodyPr anchor="t">
                        <a:noAutofit/>
                      </wps:bodyPr>
                    </wps:wsp>
                  </a:graphicData>
                </a:graphic>
              </wp:anchor>
            </w:drawing>
          </mc:Choice>
          <mc:Fallback>
            <w:pict>
              <v:rect id="shape_0" ID="Cornice6" path="m0,0l-2147483645,0l-2147483645,-2147483646l0,-2147483646xe" fillcolor="white" stroked="f" o:allowincell="f" style="position:absolute;margin-left:10.8pt;margin-top:2.65pt;width:397.45pt;height:135.25pt;mso-wrap-style:none;v-text-anchor:middle;mso-position-horizontal-relative:margin">
                <v:fill o:detectmouseclick="t" type="solid" color2="black" opacity="0"/>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v:textbox>
                <w10:wrap type="square"/>
              </v:rect>
            </w:pict>
          </mc:Fallback>
        </mc:AlternateContent>
      </w:r>
    </w:p>
    <w:p>
      <w:pPr>
        <w:pStyle w:val="Normal"/>
        <w:rPr>
          <w:b/>
          <w:bCs/>
        </w:rPr>
      </w:pPr>
      <w:r>
        <w:rPr>
          <w:b/>
          <w:bCs/>
        </w:rPr>
        <w:t>Tabella di ammissibilità dei consensi C5, C6 e C7</w:t>
      </w:r>
    </w:p>
    <w:tbl>
      <w:tblPr>
        <w:tblStyle w:val="Grigliatabella"/>
        <w:tblW w:w="6728" w:type="dxa"/>
        <w:jc w:val="left"/>
        <w:tblInd w:w="851" w:type="dxa"/>
        <w:tblLayout w:type="fixed"/>
        <w:tblCellMar>
          <w:top w:w="0" w:type="dxa"/>
          <w:left w:w="108" w:type="dxa"/>
          <w:bottom w:w="0" w:type="dxa"/>
          <w:right w:w="108" w:type="dxa"/>
        </w:tblCellMar>
        <w:tblLook w:firstRow="1" w:noVBand="1" w:lastRow="0" w:firstColumn="1" w:lastColumn="0" w:noHBand="1" w:val="06a0"/>
      </w:tblPr>
      <w:tblGrid>
        <w:gridCol w:w="1682"/>
        <w:gridCol w:w="1682"/>
        <w:gridCol w:w="1682"/>
        <w:gridCol w:w="1681"/>
      </w:tblGrid>
      <w:tr>
        <w:trPr>
          <w:trHeight w:val="307" w:hRule="atLeast"/>
        </w:trPr>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C5</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C6</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C7</w:t>
            </w:r>
          </w:p>
        </w:tc>
        <w:tc>
          <w:tcPr>
            <w:tcW w:w="1681"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Ammissibilità</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bl>
    <w:p>
      <w:pPr>
        <w:pStyle w:val="Normal"/>
        <w:rPr>
          <w:lang w:eastAsia="x-none"/>
        </w:rPr>
      </w:pPr>
      <w:r>
        <w:rPr>
          <w:lang w:eastAsia="x-none"/>
        </w:rPr>
      </w:r>
    </w:p>
    <w:p>
      <w:pPr>
        <w:pStyle w:val="Normal"/>
        <w:keepLines w:val="false"/>
        <w:spacing w:lineRule="auto" w:line="240" w:before="0" w:after="0"/>
        <w:ind w:left="0"/>
        <w:rPr>
          <w:rFonts w:ascii="Arial" w:hAnsi="Arial"/>
          <w:b/>
          <w:sz w:val="28"/>
        </w:rPr>
      </w:pPr>
      <w:r>
        <w:rPr>
          <w:rFonts w:ascii="Arial" w:hAnsi="Arial"/>
          <w:b/>
          <w:sz w:val="28"/>
        </w:rPr>
      </w:r>
      <w:r>
        <w:br w:type="page"/>
      </w:r>
    </w:p>
    <w:p>
      <w:pPr>
        <w:pStyle w:val="Heading1"/>
        <w:spacing w:before="0" w:after="120"/>
        <w:jc w:val="both"/>
        <w:rPr/>
      </w:pPr>
      <w:bookmarkStart w:id="126" w:name="_Toc173420532"/>
      <w:bookmarkStart w:id="127" w:name="_Toc438993522"/>
      <w:r>
        <w:rPr/>
        <w:t>Appendice A – Scenari di integrazione Ciclo di Vita Prescrittivo</w:t>
      </w:r>
      <w:bookmarkEnd w:id="126"/>
      <w:bookmarkEnd w:id="127"/>
    </w:p>
    <w:p>
      <w:pPr>
        <w:pStyle w:val="Normal"/>
        <w:rPr/>
      </w:pPr>
      <w:r>
        <w:rPr/>
      </w:r>
    </w:p>
    <w:p>
      <w:pPr>
        <w:pStyle w:val="Normal"/>
        <w:ind w:left="72"/>
        <w:jc w:val="both"/>
        <w:rPr/>
      </w:pPr>
      <w:r>
        <w:rP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pPr>
        <w:pStyle w:val="Normal"/>
        <w:ind w:left="72"/>
        <w:jc w:val="both"/>
        <w:rPr/>
      </w:pPr>
      <w:r>
        <w:rPr/>
        <w:t>Questo servizio nel caso di medici prescrittori e farmacisti, a seguito dell’inserimento del codice fiscale, restituisce l’elenco degli incarichi attivi, cioè ruolo e struttura/ASL,</w:t>
      </w:r>
    </w:p>
    <w:p>
      <w:pPr>
        <w:pStyle w:val="Normal"/>
        <w:ind w:left="72"/>
        <w:jc w:val="both"/>
        <w:rPr/>
      </w:pPr>
      <w:r>
        <w:rPr/>
        <w:t>Mentre, nel caso di applicativi CUP/soluzioni software per strutture private accreditate, a fronte dell’inserimento della partita iva, restituisce l’elenco degli incarichi attivi e quindi ruolo e struttura.</w:t>
      </w:r>
    </w:p>
    <w:p>
      <w:pPr>
        <w:pStyle w:val="Normal"/>
        <w:rPr/>
      </w:pPr>
      <w:r>
        <w:rPr/>
      </w:r>
    </w:p>
    <w:p>
      <w:pPr>
        <w:sectPr>
          <w:headerReference w:type="even" r:id="rId13"/>
          <w:headerReference w:type="default" r:id="rId14"/>
          <w:headerReference w:type="first" r:id="rId15"/>
          <w:footerReference w:type="even" r:id="rId16"/>
          <w:footerReference w:type="default" r:id="rId17"/>
          <w:footerReference w:type="first" r:id="rId18"/>
          <w:footnotePr>
            <w:numFmt w:val="decimal"/>
          </w:footnotePr>
          <w:type w:val="nextPage"/>
          <w:pgSz w:w="11906" w:h="16838"/>
          <w:pgMar w:left="1134" w:right="1842" w:gutter="567" w:header="720" w:top="1701" w:footer="1418" w:bottom="1701"/>
          <w:pgNumType w:fmt="decimal"/>
          <w:formProt w:val="false"/>
          <w:textDirection w:val="lrTb"/>
          <w:docGrid w:type="default" w:linePitch="272" w:charSpace="8192"/>
        </w:sectPr>
        <w:pStyle w:val="Heading2"/>
        <w:rPr/>
      </w:pPr>
      <w:bookmarkStart w:id="128" w:name="_Toc173420533"/>
      <w:bookmarkStart w:id="129" w:name="_Toc438993523"/>
      <w:r>
        <w:rPr/>
        <w:t>Scenari di integrazione per cartelle cliniche</w:t>
      </w:r>
      <w:bookmarkEnd w:id="128"/>
      <w:bookmarkEnd w:id="129"/>
    </w:p>
    <w:p>
      <w:pPr>
        <w:pStyle w:val="Heading3"/>
        <w:rPr/>
      </w:pPr>
      <w:bookmarkStart w:id="130" w:name="_Toc173420534"/>
      <w:bookmarkStart w:id="131" w:name="_Toc438993524"/>
      <w:r>
        <w:rPr/>
        <w:t>Emettere prescrizione</w:t>
      </w:r>
      <w:bookmarkEnd w:id="130"/>
      <w:bookmarkEnd w:id="131"/>
    </w:p>
    <w:p>
      <w:pPr>
        <w:pStyle w:val="Normal"/>
        <w:ind w:left="0"/>
        <w:rPr/>
      </w:pPr>
      <w:r>
        <w:rPr/>
      </w:r>
    </w:p>
    <w:p>
      <w:pPr>
        <w:sectPr>
          <w:headerReference w:type="even" r:id="rId20"/>
          <w:headerReference w:type="default" r:id="rId21"/>
          <w:headerReference w:type="first" r:id="rId22"/>
          <w:footerReference w:type="even" r:id="rId23"/>
          <w:footerReference w:type="default" r:id="rId24"/>
          <w:footerReference w:type="first" r:id="rId25"/>
          <w:footnotePr>
            <w:numFmt w:val="decimal"/>
          </w:footnotePr>
          <w:type w:val="nextPage"/>
          <w:pgSz w:orient="landscape" w:w="16838" w:h="11906"/>
          <w:pgMar w:left="851" w:right="822" w:gutter="567" w:header="720" w:top="1134" w:footer="1418" w:bottom="1475"/>
          <w:pgNumType w:fmt="decimal"/>
          <w:formProt w:val="false"/>
          <w:titlePg/>
          <w:textDirection w:val="lrTb"/>
          <w:docGrid w:type="default" w:linePitch="272" w:charSpace="8192"/>
        </w:sectPr>
        <w:pStyle w:val="Normal"/>
        <w:ind w:left="0"/>
        <w:rPr/>
      </w:pPr>
      <w:r>
        <w:rPr/>
        <w:drawing>
          <wp:inline distT="0" distB="0" distL="0" distR="0">
            <wp:extent cx="7591425" cy="4629150"/>
            <wp:effectExtent l="0" t="0" r="0" b="0"/>
            <wp:docPr id="8"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descr=""/>
                    <pic:cNvPicPr>
                      <a:picLocks noChangeAspect="1" noChangeArrowheads="1"/>
                    </pic:cNvPicPr>
                  </pic:nvPicPr>
                  <pic:blipFill>
                    <a:blip r:embed="rId19"/>
                    <a:stretch>
                      <a:fillRect/>
                    </a:stretch>
                  </pic:blipFill>
                  <pic:spPr bwMode="auto">
                    <a:xfrm>
                      <a:off x="0" y="0"/>
                      <a:ext cx="7591425" cy="4629150"/>
                    </a:xfrm>
                    <a:prstGeom prst="rect">
                      <a:avLst/>
                    </a:prstGeom>
                    <a:noFill/>
                  </pic:spPr>
                </pic:pic>
              </a:graphicData>
            </a:graphic>
          </wp:inline>
        </w:drawing>
      </w:r>
    </w:p>
    <w:p>
      <w:pPr>
        <w:pStyle w:val="Normal"/>
        <w:rPr>
          <w:b/>
        </w:rPr>
      </w:pPr>
      <w:r>
        <w:rPr>
          <w:b/>
        </w:rPr>
        <w:t>Emettere prescrizione su promemoria</w:t>
      </w:r>
    </w:p>
    <w:p>
      <w:pPr>
        <w:pStyle w:val="Normal"/>
        <w:numPr>
          <w:ilvl w:val="0"/>
          <w:numId w:val="13"/>
        </w:numPr>
        <w:rPr/>
      </w:pPr>
      <w:r>
        <w:rPr/>
        <w:t>Inizio</w:t>
      </w:r>
    </w:p>
    <w:p>
      <w:pPr>
        <w:pStyle w:val="Normal"/>
        <w:numPr>
          <w:ilvl w:val="0"/>
          <w:numId w:val="13"/>
        </w:numPr>
        <w:rPr/>
      </w:pPr>
      <w:r>
        <w:rPr/>
        <w:t>Richiesta controllo prescrittivo SIST</w:t>
      </w:r>
    </w:p>
    <w:p>
      <w:pPr>
        <w:pStyle w:val="Normal"/>
        <w:numPr>
          <w:ilvl w:val="0"/>
          <w:numId w:val="13"/>
        </w:numPr>
        <w:rPr/>
      </w:pPr>
      <w:r>
        <w:rPr/>
        <w:t>invoca:chkPrescrizione</w:t>
      </w:r>
    </w:p>
    <w:p>
      <w:pPr>
        <w:pStyle w:val="Normal"/>
        <w:numPr>
          <w:ilvl w:val="0"/>
          <w:numId w:val="13"/>
        </w:numPr>
        <w:rPr/>
      </w:pPr>
      <w:r>
        <w:rPr/>
        <w:t>Restituisce NRE e Codice Autenticazione – Il SIST accoglie positivamente la richiesta di controllo della prescrizione, trasmette al SAC i dati di prescrizione e restituisce l’NRE e Codice di Autenticazione da restituire all’applicativo di cartella clinica</w:t>
      </w:r>
    </w:p>
    <w:p>
      <w:pPr>
        <w:pStyle w:val="Normal"/>
        <w:numPr>
          <w:ilvl w:val="0"/>
          <w:numId w:val="13"/>
        </w:numPr>
        <w:rPr/>
      </w:pPr>
      <w:r>
        <w:rPr/>
        <w:t>Crea CDA con NRE e Codice Autenticazione</w:t>
      </w:r>
    </w:p>
    <w:p>
      <w:pPr>
        <w:pStyle w:val="Normal"/>
        <w:numPr>
          <w:ilvl w:val="0"/>
          <w:numId w:val="13"/>
        </w:numPr>
        <w:rPr/>
      </w:pPr>
      <w:r>
        <w:rPr/>
        <w:t>Firma CDA con NRE e Codice Autenticazinoe</w:t>
      </w:r>
    </w:p>
    <w:p>
      <w:pPr>
        <w:pStyle w:val="Normal"/>
        <w:numPr>
          <w:ilvl w:val="0"/>
          <w:numId w:val="13"/>
        </w:numPr>
        <w:rPr/>
      </w:pPr>
      <w:r>
        <w:rPr/>
        <w:t>Stampa Promemoria</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infomazione veicola l’identificativo del Piano Care Puglia.</w:t>
      </w:r>
    </w:p>
    <w:p>
      <w:pPr>
        <w:pStyle w:val="Normal"/>
        <w:numPr>
          <w:ilvl w:val="0"/>
          <w:numId w:val="13"/>
        </w:numPr>
        <w:rPr/>
      </w:pPr>
      <w:r>
        <w:rPr/>
        <w:t>Registra Prescrizione</w:t>
      </w:r>
    </w:p>
    <w:p>
      <w:pPr>
        <w:pStyle w:val="Normal"/>
        <w:numPr>
          <w:ilvl w:val="0"/>
          <w:numId w:val="13"/>
        </w:numPr>
        <w:rPr/>
      </w:pPr>
      <w:r>
        <w:rPr/>
        <w:t>Fine</w:t>
      </w:r>
    </w:p>
    <w:p>
      <w:pPr>
        <w:pStyle w:val="Normal"/>
        <w:ind w:left="1440"/>
        <w:rPr/>
      </w:pPr>
      <w:r>
        <w:rPr/>
      </w:r>
    </w:p>
    <w:p>
      <w:pPr>
        <w:pStyle w:val="Normal"/>
        <w:rPr>
          <w:b/>
        </w:rPr>
      </w:pPr>
      <w:r>
        <w:rPr>
          <w:b/>
        </w:rPr>
        <w:t>Emettere prescrizione su ricetta rossa</w:t>
      </w:r>
    </w:p>
    <w:p>
      <w:pPr>
        <w:pStyle w:val="Normal"/>
        <w:numPr>
          <w:ilvl w:val="0"/>
          <w:numId w:val="14"/>
        </w:numPr>
        <w:rPr/>
      </w:pPr>
      <w:r>
        <w:rPr/>
        <w:t>Inizio</w:t>
      </w:r>
    </w:p>
    <w:p>
      <w:pPr>
        <w:pStyle w:val="Normal"/>
        <w:numPr>
          <w:ilvl w:val="0"/>
          <w:numId w:val="14"/>
        </w:numPr>
        <w:rPr/>
      </w:pPr>
      <w:r>
        <w:rPr/>
        <w:t>Richiesta controllo prescrittivo SIST</w:t>
      </w:r>
    </w:p>
    <w:p>
      <w:pPr>
        <w:pStyle w:val="Normal"/>
        <w:numPr>
          <w:ilvl w:val="0"/>
          <w:numId w:val="14"/>
        </w:numPr>
        <w:rPr/>
      </w:pPr>
      <w:r>
        <w:rPr/>
        <w:t>invoca:chkPrescrizione</w:t>
      </w:r>
    </w:p>
    <w:p>
      <w:pPr>
        <w:pStyle w:val="Normal"/>
        <w:numPr>
          <w:ilvl w:val="0"/>
          <w:numId w:val="14"/>
        </w:numPr>
        <w:rPr>
          <w:b/>
        </w:rPr>
      </w:pPr>
      <w:r>
        <w:rPr/>
        <w:t>Restituisce NRE senza Codice Autenticazione – Il SIST accoglie positivamente la richiesta di controllo della prescrizione, trasmette al SAC i dati di prescrizione ma il sistema di accoglienza centrale risulta non disponibile.</w:t>
      </w:r>
    </w:p>
    <w:p>
      <w:pPr>
        <w:pStyle w:val="Normal"/>
        <w:numPr>
          <w:ilvl w:val="0"/>
          <w:numId w:val="14"/>
        </w:numPr>
        <w:rPr/>
      </w:pPr>
      <w:r>
        <w:rPr/>
        <w:t>Crea CDA con solo NRE</w:t>
        <w:tab/>
      </w:r>
    </w:p>
    <w:p>
      <w:pPr>
        <w:pStyle w:val="Normal"/>
        <w:numPr>
          <w:ilvl w:val="0"/>
          <w:numId w:val="14"/>
        </w:numPr>
        <w:rPr/>
      </w:pPr>
      <w:r>
        <w:rPr/>
        <w:t>Firma CDA con solo NRE</w:t>
      </w:r>
    </w:p>
    <w:p>
      <w:pPr>
        <w:pStyle w:val="Normal"/>
        <w:numPr>
          <w:ilvl w:val="0"/>
          <w:numId w:val="14"/>
        </w:numPr>
        <w:rPr/>
      </w:pPr>
      <w:r>
        <w:rPr/>
        <w:t>Stampa Ricetta Rossa con solo NRE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rPr/>
      </w:pPr>
      <w:r>
        <w:rPr/>
      </w:r>
    </w:p>
    <w:p>
      <w:pPr>
        <w:pStyle w:val="Normal"/>
        <w:rPr>
          <w:b/>
        </w:rPr>
      </w:pPr>
      <w:r>
        <w:rPr>
          <w:b/>
        </w:rPr>
        <w:t>Emettere prescrizione – Il servizio chkPrescrizone risulta non disponibile</w:t>
      </w:r>
    </w:p>
    <w:p>
      <w:pPr>
        <w:pStyle w:val="Normal"/>
        <w:rPr/>
      </w:pPr>
      <w:r>
        <w:rPr/>
        <w:t>In tale scenario è possibile emettere solo su ricetta rossa</w:t>
      </w:r>
    </w:p>
    <w:p>
      <w:pPr>
        <w:pStyle w:val="Normal"/>
        <w:numPr>
          <w:ilvl w:val="0"/>
          <w:numId w:val="15"/>
        </w:numPr>
        <w:rPr/>
      </w:pPr>
      <w:r>
        <w:rPr/>
        <w:t>Inizio</w:t>
      </w:r>
    </w:p>
    <w:p>
      <w:pPr>
        <w:pStyle w:val="Normal"/>
        <w:numPr>
          <w:ilvl w:val="0"/>
          <w:numId w:val="15"/>
        </w:numPr>
        <w:rPr/>
      </w:pPr>
      <w:r>
        <w:rPr/>
        <w:t>Richiesta controllo prescrittivo SIST (timeout o servizio non disponibile)</w:t>
      </w:r>
    </w:p>
    <w:p>
      <w:pPr>
        <w:pStyle w:val="Normal"/>
        <w:numPr>
          <w:ilvl w:val="0"/>
          <w:numId w:val="14"/>
        </w:numPr>
        <w:rPr/>
      </w:pPr>
      <w:r>
        <w:rPr/>
        <w:t>Crea CDA con solo IUP offline (cfr. documento Nota Tecnica IUP.doc, presente in Allegati Tecnici.zip)</w:t>
      </w:r>
    </w:p>
    <w:p>
      <w:pPr>
        <w:pStyle w:val="Normal"/>
        <w:numPr>
          <w:ilvl w:val="0"/>
          <w:numId w:val="14"/>
        </w:numPr>
        <w:rPr/>
      </w:pPr>
      <w:r>
        <w:rPr/>
        <w:t>Firma CDA con solo IUP offline</w:t>
      </w:r>
    </w:p>
    <w:p>
      <w:pPr>
        <w:pStyle w:val="Normal"/>
        <w:numPr>
          <w:ilvl w:val="0"/>
          <w:numId w:val="14"/>
        </w:numPr>
        <w:rPr/>
      </w:pPr>
      <w:r>
        <w:rPr/>
        <w:t>Stampa Ricetta Rossa con solo IUP offline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jc w:val="both"/>
        <w:rPr>
          <w:b/>
        </w:rPr>
      </w:pPr>
      <w:r>
        <w:rPr>
          <w:b/>
        </w:rPr>
      </w:r>
    </w:p>
    <w:p>
      <w:pPr>
        <w:pStyle w:val="Normal"/>
        <w:ind w:left="720"/>
        <w:rPr/>
      </w:pPr>
      <w:r>
        <w:rPr/>
        <w:t>invoca:setRegistraPrescrizione*:  Richiama il processo Registra Prescrizione – La chiamata va schedulata in caso di timeout o indisponibilità del servizio sino a quando non sarà ottenuta una risposta dal SIST.</w:t>
      </w:r>
    </w:p>
    <w:p>
      <w:pPr>
        <w:pStyle w:val="Normal"/>
        <w:ind w:left="0"/>
        <w:rPr/>
      </w:pPr>
      <w:r>
        <w:rPr/>
      </w:r>
    </w:p>
    <w:p>
      <w:pPr>
        <w:pStyle w:val="Normal"/>
        <w:rPr>
          <w:b/>
        </w:rPr>
      </w:pPr>
      <w:r>
        <w:rPr>
          <w:b/>
        </w:rPr>
        <w:tab/>
        <w:t>Oscuramento dati</w:t>
      </w:r>
    </w:p>
    <w:p>
      <w:pPr>
        <w:pStyle w:val="Normal"/>
        <w:spacing w:lineRule="auto" w:line="240"/>
        <w:ind w:left="720"/>
        <w:rPr/>
      </w:pPr>
      <w:r>
        <w:rP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pPr>
        <w:pStyle w:val="Normal"/>
        <w:spacing w:lineRule="auto" w:line="240"/>
        <w:ind w:left="720"/>
        <w:rPr/>
      </w:pPr>
      <w:r>
        <w:rPr/>
        <w:t>Nel CDA di prescrizione deve essere apportato l’oscuramento dei dati dell’assistito secondo quando definito nel documento CDA2_Prescrizione.pdf</w:t>
      </w:r>
    </w:p>
    <w:p>
      <w:pPr>
        <w:pStyle w:val="Heading3"/>
        <w:rPr/>
      </w:pPr>
      <w:bookmarkStart w:id="132" w:name="_Toc173420535"/>
      <w:bookmarkStart w:id="133" w:name="_Toc438993525"/>
      <w:r>
        <w:rPr/>
        <w:t>Annullare prescrizione</w:t>
      </w:r>
      <w:bookmarkEnd w:id="132"/>
      <w:bookmarkEnd w:id="133"/>
    </w:p>
    <w:p>
      <w:pPr>
        <w:pStyle w:val="Normal"/>
        <w:rPr/>
      </w:pPr>
      <w:r>
        <w:rPr/>
        <w:drawing>
          <wp:inline distT="0" distB="0" distL="0" distR="0">
            <wp:extent cx="5305425" cy="4848225"/>
            <wp:effectExtent l="0" t="0" r="0" b="0"/>
            <wp:docPr id="9" name="Immagin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descr=""/>
                    <pic:cNvPicPr>
                      <a:picLocks noChangeAspect="1" noChangeArrowheads="1"/>
                    </pic:cNvPicPr>
                  </pic:nvPicPr>
                  <pic:blipFill>
                    <a:blip r:embed="rId26"/>
                    <a:stretch>
                      <a:fillRect/>
                    </a:stretch>
                  </pic:blipFill>
                  <pic:spPr bwMode="auto">
                    <a:xfrm>
                      <a:off x="0" y="0"/>
                      <a:ext cx="5305425" cy="4848225"/>
                    </a:xfrm>
                    <a:prstGeom prst="rect">
                      <a:avLst/>
                    </a:prstGeom>
                    <a:noFill/>
                  </pic:spPr>
                </pic:pic>
              </a:graphicData>
            </a:graphic>
          </wp:inline>
        </w:drawing>
      </w:r>
    </w:p>
    <w:p>
      <w:pPr>
        <w:pStyle w:val="Normal"/>
        <w:rPr>
          <w:b/>
        </w:rPr>
      </w:pPr>
      <w:r>
        <w:rPr>
          <w:b/>
        </w:rPr>
        <w:t>Annullare prescrizione –SIST disponibile</w:t>
      </w:r>
    </w:p>
    <w:p>
      <w:pPr>
        <w:pStyle w:val="Normal"/>
        <w:numPr>
          <w:ilvl w:val="0"/>
          <w:numId w:val="16"/>
        </w:numPr>
        <w:rPr/>
      </w:pPr>
      <w:r>
        <w:rPr/>
        <w:t>Inizio</w:t>
      </w:r>
    </w:p>
    <w:p>
      <w:pPr>
        <w:pStyle w:val="Normal"/>
        <w:numPr>
          <w:ilvl w:val="0"/>
          <w:numId w:val="16"/>
        </w:numPr>
        <w:rPr/>
      </w:pPr>
      <w:r>
        <w:rPr/>
        <w:t>Richiesta annullamento prescrizione</w:t>
      </w:r>
    </w:p>
    <w:p>
      <w:pPr>
        <w:pStyle w:val="Normal"/>
        <w:numPr>
          <w:ilvl w:val="0"/>
          <w:numId w:val="16"/>
        </w:numPr>
        <w:rPr/>
      </w:pPr>
      <w:r>
        <w:rPr/>
        <w:t>invoca:setAnnullaPrescrizione</w:t>
      </w:r>
    </w:p>
    <w:p>
      <w:pPr>
        <w:pStyle w:val="Normal"/>
        <w:numPr>
          <w:ilvl w:val="0"/>
          <w:numId w:val="16"/>
        </w:numPr>
        <w:rPr/>
      </w:pPr>
      <w:r>
        <w:rPr/>
        <w:t>setAnnullaPrescrizione – Il SIST procede all’annullamento della prescrizione negli archivi SIST e SAC</w:t>
      </w:r>
    </w:p>
    <w:p>
      <w:pPr>
        <w:pStyle w:val="Normal"/>
        <w:numPr>
          <w:ilvl w:val="0"/>
          <w:numId w:val="16"/>
        </w:numPr>
        <w:rPr/>
      </w:pPr>
      <w:r>
        <w:rPr/>
        <w:t>Visualizza l’esito positivo dell’operazione o l’elenco delle anomalie riscontrate</w:t>
      </w:r>
    </w:p>
    <w:p>
      <w:pPr>
        <w:pStyle w:val="Normal"/>
        <w:numPr>
          <w:ilvl w:val="0"/>
          <w:numId w:val="16"/>
        </w:numPr>
        <w:rPr/>
      </w:pPr>
      <w:r>
        <w:rPr/>
        <w:t>Fine</w:t>
      </w:r>
    </w:p>
    <w:p>
      <w:pPr>
        <w:pStyle w:val="Normal"/>
        <w:ind w:left="1440"/>
        <w:rPr/>
      </w:pPr>
      <w:r>
        <w:rPr/>
      </w:r>
    </w:p>
    <w:p>
      <w:pPr>
        <w:pStyle w:val="Normal"/>
        <w:rPr>
          <w:b/>
        </w:rPr>
      </w:pPr>
      <w:r>
        <w:rPr>
          <w:b/>
        </w:rPr>
        <w:t>Annullare prescrizione – setAnnullaPrescrizione risulta non disponibile</w:t>
      </w:r>
    </w:p>
    <w:p>
      <w:pPr>
        <w:pStyle w:val="Normal"/>
        <w:numPr>
          <w:ilvl w:val="0"/>
          <w:numId w:val="17"/>
        </w:numPr>
        <w:rPr/>
      </w:pPr>
      <w:r>
        <w:rPr/>
        <w:t>Inizio</w:t>
      </w:r>
    </w:p>
    <w:p>
      <w:pPr>
        <w:pStyle w:val="Normal"/>
        <w:numPr>
          <w:ilvl w:val="0"/>
          <w:numId w:val="17"/>
        </w:numPr>
        <w:rPr/>
      </w:pPr>
      <w:r>
        <w:rPr/>
        <w:t>Richiesta annullamento prescrizione</w:t>
      </w:r>
    </w:p>
    <w:p>
      <w:pPr>
        <w:pStyle w:val="Normal"/>
        <w:numPr>
          <w:ilvl w:val="0"/>
          <w:numId w:val="17"/>
        </w:numPr>
        <w:rPr/>
      </w:pPr>
      <w:r>
        <w:rPr/>
        <w:t>invoca:setAnnullaPrescrizione (timeout o servizio non disponibile)</w:t>
      </w:r>
    </w:p>
    <w:p>
      <w:pPr>
        <w:pStyle w:val="Normal"/>
        <w:numPr>
          <w:ilvl w:val="0"/>
          <w:numId w:val="17"/>
        </w:numPr>
        <w:rPr/>
      </w:pPr>
      <w:r>
        <w:rPr/>
        <w:t>L’applicativo di cartella clinica schedula la chiamata al servizio finchè non ottiene una risposta</w:t>
      </w:r>
    </w:p>
    <w:p>
      <w:pPr>
        <w:pStyle w:val="Normal"/>
        <w:numPr>
          <w:ilvl w:val="0"/>
          <w:numId w:val="17"/>
        </w:numPr>
        <w:rPr/>
      </w:pPr>
      <w:r>
        <w:rPr/>
        <w:t>Fine</w:t>
      </w:r>
    </w:p>
    <w:p>
      <w:pPr>
        <w:pStyle w:val="Normal"/>
        <w:rPr>
          <w:b/>
        </w:rPr>
      </w:pPr>
      <w:r>
        <w:rPr>
          <w:b/>
        </w:rPr>
      </w:r>
    </w:p>
    <w:p>
      <w:pPr>
        <w:pStyle w:val="Normal"/>
        <w:rPr/>
      </w:pPr>
      <w:r>
        <w:rPr/>
      </w:r>
    </w:p>
    <w:p>
      <w:pPr>
        <w:pStyle w:val="Normal"/>
        <w:rPr/>
      </w:pPr>
      <w:r>
        <w:rPr/>
      </w:r>
    </w:p>
    <w:p>
      <w:pPr>
        <w:pStyle w:val="Heading3"/>
        <w:rPr/>
      </w:pPr>
      <w:bookmarkStart w:id="134" w:name="_Toc173420536"/>
      <w:bookmarkStart w:id="135" w:name="_Toc438993526"/>
      <w:r>
        <w:rPr/>
        <w:t>Identificare prescrizione</w:t>
      </w:r>
      <w:bookmarkEnd w:id="134"/>
      <w:bookmarkEnd w:id="135"/>
    </w:p>
    <w:p>
      <w:pPr>
        <w:pStyle w:val="Normal"/>
        <w:rPr/>
      </w:pPr>
      <w:r>
        <w:rPr/>
      </w:r>
    </w:p>
    <w:p>
      <w:pPr>
        <w:pStyle w:val="Normal"/>
        <w:rPr/>
      </w:pPr>
      <w:r>
        <w:rPr/>
        <w:drawing>
          <wp:inline distT="0" distB="0" distL="0" distR="0">
            <wp:extent cx="5305425" cy="5819775"/>
            <wp:effectExtent l="0" t="0" r="0" b="0"/>
            <wp:docPr id="10"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descr=""/>
                    <pic:cNvPicPr>
                      <a:picLocks noChangeAspect="1" noChangeArrowheads="1"/>
                    </pic:cNvPicPr>
                  </pic:nvPicPr>
                  <pic:blipFill>
                    <a:blip r:embed="rId27"/>
                    <a:stretch>
                      <a:fillRect/>
                    </a:stretch>
                  </pic:blipFill>
                  <pic:spPr bwMode="auto">
                    <a:xfrm>
                      <a:off x="0" y="0"/>
                      <a:ext cx="5305425" cy="5819775"/>
                    </a:xfrm>
                    <a:prstGeom prst="rect">
                      <a:avLst/>
                    </a:prstGeom>
                    <a:noFill/>
                  </pic:spPr>
                </pic:pic>
              </a:graphicData>
            </a:graphic>
          </wp:inline>
        </w:drawing>
      </w:r>
    </w:p>
    <w:p>
      <w:pPr>
        <w:pStyle w:val="Normal"/>
        <w:numPr>
          <w:ilvl w:val="0"/>
          <w:numId w:val="18"/>
        </w:numPr>
        <w:rPr/>
      </w:pPr>
      <w:r>
        <w:rPr/>
        <w:t>Inizio</w:t>
      </w:r>
    </w:p>
    <w:p>
      <w:pPr>
        <w:pStyle w:val="Normal"/>
        <w:numPr>
          <w:ilvl w:val="0"/>
          <w:numId w:val="18"/>
        </w:numPr>
        <w:rPr/>
      </w:pPr>
      <w:r>
        <w:rPr/>
        <w:t>Richiesta identificazione prescrizione</w:t>
      </w:r>
    </w:p>
    <w:p>
      <w:pPr>
        <w:pStyle w:val="Normal"/>
        <w:numPr>
          <w:ilvl w:val="0"/>
          <w:numId w:val="18"/>
        </w:numPr>
        <w:rPr/>
      </w:pPr>
      <w:r>
        <w:rPr/>
        <w:t>invoca:getPrescrizioneIdentificata</w:t>
      </w:r>
    </w:p>
    <w:p>
      <w:pPr>
        <w:pStyle w:val="Normal"/>
        <w:numPr>
          <w:ilvl w:val="0"/>
          <w:numId w:val="18"/>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18"/>
        </w:numPr>
        <w:rPr/>
      </w:pPr>
      <w:r>
        <w:rPr/>
        <w:t>Fine</w:t>
      </w:r>
    </w:p>
    <w:p>
      <w:pPr>
        <w:pStyle w:val="Normal"/>
        <w:rPr/>
      </w:pPr>
      <w:r>
        <w:rPr/>
      </w:r>
    </w:p>
    <w:p>
      <w:pPr>
        <w:pStyle w:val="Heading3"/>
        <w:rPr/>
      </w:pPr>
      <w:bookmarkStart w:id="136" w:name="_Toc173420537"/>
      <w:bookmarkStart w:id="137" w:name="_Toc438993527"/>
      <w:r>
        <w:rPr/>
        <w:t>Ricercare prescrizioni</w:t>
      </w:r>
      <w:bookmarkEnd w:id="136"/>
      <w:bookmarkEnd w:id="137"/>
    </w:p>
    <w:p>
      <w:pPr>
        <w:pStyle w:val="Normal"/>
        <w:rPr/>
      </w:pPr>
      <w:r>
        <w:rPr/>
        <w:drawing>
          <wp:inline distT="0" distB="0" distL="0" distR="0">
            <wp:extent cx="5305425" cy="5353050"/>
            <wp:effectExtent l="0" t="0" r="0" b="0"/>
            <wp:docPr id="11" name="Immagin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descr=""/>
                    <pic:cNvPicPr>
                      <a:picLocks noChangeAspect="1" noChangeArrowheads="1"/>
                    </pic:cNvPicPr>
                  </pic:nvPicPr>
                  <pic:blipFill>
                    <a:blip r:embed="rId28"/>
                    <a:stretch>
                      <a:fillRect/>
                    </a:stretch>
                  </pic:blipFill>
                  <pic:spPr bwMode="auto">
                    <a:xfrm>
                      <a:off x="0" y="0"/>
                      <a:ext cx="5305425" cy="5353050"/>
                    </a:xfrm>
                    <a:prstGeom prst="rect">
                      <a:avLst/>
                    </a:prstGeom>
                    <a:noFill/>
                  </pic:spPr>
                </pic:pic>
              </a:graphicData>
            </a:graphic>
          </wp:inline>
        </w:drawing>
      </w:r>
    </w:p>
    <w:p>
      <w:pPr>
        <w:pStyle w:val="Normal"/>
        <w:rPr/>
      </w:pPr>
      <w:r>
        <w:rPr/>
      </w:r>
    </w:p>
    <w:p>
      <w:pPr>
        <w:pStyle w:val="Normal"/>
        <w:numPr>
          <w:ilvl w:val="0"/>
          <w:numId w:val="19"/>
        </w:numPr>
        <w:rPr/>
      </w:pPr>
      <w:r>
        <w:rPr/>
        <w:t>Inizio</w:t>
      </w:r>
    </w:p>
    <w:p>
      <w:pPr>
        <w:pStyle w:val="Normal"/>
        <w:numPr>
          <w:ilvl w:val="0"/>
          <w:numId w:val="19"/>
        </w:numPr>
        <w:ind w:hanging="207" w:left="1418"/>
        <w:rPr/>
      </w:pPr>
      <w:r>
        <w:rPr/>
        <w:t>Richiesta ricerca prescrizione</w:t>
      </w:r>
    </w:p>
    <w:p>
      <w:pPr>
        <w:pStyle w:val="Normal"/>
        <w:numPr>
          <w:ilvl w:val="0"/>
          <w:numId w:val="19"/>
        </w:numPr>
        <w:ind w:hanging="207" w:left="1418"/>
        <w:rPr/>
      </w:pPr>
      <w:r>
        <w:rPr/>
        <w:t>invoca:getPrescrizioniIdentificate</w:t>
      </w:r>
    </w:p>
    <w:p>
      <w:pPr>
        <w:pStyle w:val="Normal"/>
        <w:numPr>
          <w:ilvl w:val="0"/>
          <w:numId w:val="19"/>
        </w:numPr>
        <w:ind w:hanging="207" w:left="1418"/>
        <w:rPr/>
      </w:pPr>
      <w:r>
        <w:rPr/>
        <w:t>Il SIST procede alla ricerca delle prescrizioni. Il sistema restituisce soltanto dei dati parziali della prescrizione o una lista vuota nel caso in cui nessuna prescrizione soddisfa i criteri di ricerca inseriti</w:t>
      </w:r>
    </w:p>
    <w:p>
      <w:pPr>
        <w:pStyle w:val="Normal"/>
        <w:numPr>
          <w:ilvl w:val="0"/>
          <w:numId w:val="19"/>
        </w:numPr>
        <w:ind w:hanging="207" w:left="1418"/>
        <w:rPr/>
      </w:pPr>
      <w:r>
        <w:rPr/>
        <w:t>Fine</w:t>
      </w:r>
    </w:p>
    <w:p>
      <w:pPr>
        <w:pStyle w:val="Normal"/>
        <w:ind w:hanging="207" w:left="1418"/>
        <w:rPr/>
      </w:pPr>
      <w:r>
        <w:rPr/>
      </w:r>
      <w:r>
        <w:br w:type="page"/>
      </w:r>
    </w:p>
    <w:p>
      <w:pPr>
        <w:pStyle w:val="Heading2"/>
        <w:spacing w:before="0" w:after="0"/>
        <w:rPr/>
      </w:pPr>
      <w:bookmarkStart w:id="138" w:name="_Toc173420538"/>
      <w:bookmarkStart w:id="139" w:name="_Toc438993528"/>
      <w:r>
        <w:rPr/>
        <w:t>Scenari di integrazione per gestionali di farmacia</w:t>
      </w:r>
      <w:bookmarkEnd w:id="138"/>
      <w:bookmarkEnd w:id="139"/>
    </w:p>
    <w:p>
      <w:pPr>
        <w:pStyle w:val="Heading3"/>
        <w:rPr/>
      </w:pPr>
      <w:bookmarkStart w:id="140" w:name="_Toc173420539"/>
      <w:bookmarkStart w:id="141" w:name="_Toc438993529"/>
      <w:r>
        <w:rPr/>
        <w:t>Erogare prescrizione farmaceutica</w:t>
      </w:r>
      <w:bookmarkEnd w:id="140"/>
      <w:bookmarkEnd w:id="141"/>
    </w:p>
    <w:p>
      <w:pPr>
        <w:pStyle w:val="Normal"/>
        <w:rPr/>
      </w:pPr>
      <w:r>
        <w:rPr/>
        <w:drawing>
          <wp:inline distT="0" distB="0" distL="0" distR="0">
            <wp:extent cx="5305425" cy="5514975"/>
            <wp:effectExtent l="0" t="0" r="0" b="0"/>
            <wp:docPr id="12"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descr=""/>
                    <pic:cNvPicPr>
                      <a:picLocks noChangeAspect="1" noChangeArrowheads="1"/>
                    </pic:cNvPicPr>
                  </pic:nvPicPr>
                  <pic:blipFill>
                    <a:blip r:embed="rId29"/>
                    <a:stretch>
                      <a:fillRect/>
                    </a:stretch>
                  </pic:blipFill>
                  <pic:spPr bwMode="auto">
                    <a:xfrm>
                      <a:off x="0" y="0"/>
                      <a:ext cx="5305425" cy="5514975"/>
                    </a:xfrm>
                    <a:prstGeom prst="rect">
                      <a:avLst/>
                    </a:prstGeom>
                    <a:noFill/>
                  </pic:spPr>
                </pic:pic>
              </a:graphicData>
            </a:graphic>
          </wp:inline>
        </w:drawing>
      </w:r>
    </w:p>
    <w:p>
      <w:pPr>
        <w:pStyle w:val="Normal"/>
        <w:rPr/>
      </w:pPr>
      <w:r>
        <w:rPr/>
      </w:r>
    </w:p>
    <w:p>
      <w:pPr>
        <w:pStyle w:val="Normal"/>
        <w:rPr>
          <w:b/>
        </w:rPr>
      </w:pPr>
      <w:r>
        <w:rPr>
          <w:b/>
        </w:rPr>
        <w:t>Erogare prescrizione farmaceutica su promemoria</w:t>
      </w:r>
    </w:p>
    <w:p>
      <w:pPr>
        <w:pStyle w:val="Normal"/>
        <w:numPr>
          <w:ilvl w:val="0"/>
          <w:numId w:val="20"/>
        </w:numPr>
        <w:rPr>
          <w:b/>
        </w:rPr>
      </w:pPr>
      <w:r>
        <w:rPr/>
        <w:t>Inizio</w:t>
      </w:r>
    </w:p>
    <w:p>
      <w:pPr>
        <w:pStyle w:val="Normal"/>
        <w:numPr>
          <w:ilvl w:val="0"/>
          <w:numId w:val="20"/>
        </w:numPr>
        <w:rPr/>
      </w:pPr>
      <w:r>
        <w:rPr/>
        <w:t>Richiesta di identificazione della prescrizione da erogare</w:t>
      </w:r>
    </w:p>
    <w:p>
      <w:pPr>
        <w:pStyle w:val="Normal"/>
        <w:numPr>
          <w:ilvl w:val="0"/>
          <w:numId w:val="20"/>
        </w:numPr>
        <w:rPr/>
      </w:pPr>
      <w:r>
        <w:rPr/>
        <w:t>invoca:getPrescrizioneIdentificata</w:t>
      </w:r>
    </w:p>
    <w:p>
      <w:pPr>
        <w:pStyle w:val="Normal"/>
        <w:numPr>
          <w:ilvl w:val="0"/>
          <w:numId w:val="20"/>
        </w:numPr>
        <w:ind w:hanging="207" w:left="1418"/>
        <w:rPr/>
      </w:pPr>
      <w:r>
        <w:rPr/>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pPr>
        <w:pStyle w:val="Normal"/>
        <w:numPr>
          <w:ilvl w:val="0"/>
          <w:numId w:val="20"/>
        </w:numPr>
        <w:ind w:hanging="207" w:left="1418"/>
        <w:rPr/>
      </w:pPr>
      <w:r>
        <w:rPr/>
        <w:t>Compilazione dei dati di erogazione</w:t>
      </w:r>
    </w:p>
    <w:p>
      <w:pPr>
        <w:pStyle w:val="Normal"/>
        <w:numPr>
          <w:ilvl w:val="0"/>
          <w:numId w:val="20"/>
        </w:numPr>
        <w:ind w:hanging="207" w:left="1418"/>
        <w:rPr/>
      </w:pPr>
      <w:r>
        <w:rP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pPr>
        <w:pStyle w:val="Normal"/>
        <w:numPr>
          <w:ilvl w:val="0"/>
          <w:numId w:val="20"/>
        </w:numPr>
        <w:ind w:hanging="207" w:left="1418"/>
        <w:rPr/>
      </w:pPr>
      <w:r>
        <w:rPr/>
        <w:t>Firma CDA di erogazione</w:t>
      </w:r>
    </w:p>
    <w:p>
      <w:pPr>
        <w:pStyle w:val="Normal"/>
        <w:numPr>
          <w:ilvl w:val="0"/>
          <w:numId w:val="20"/>
        </w:numPr>
        <w:ind w:hanging="207" w:left="1418"/>
        <w:rPr/>
      </w:pPr>
      <w:r>
        <w:rPr/>
        <w:t>Invoca:setRegistraErogazioneFarm</w:t>
      </w:r>
    </w:p>
    <w:p>
      <w:pPr>
        <w:pStyle w:val="Normal"/>
        <w:numPr>
          <w:ilvl w:val="0"/>
          <w:numId w:val="20"/>
        </w:numPr>
        <w:ind w:hanging="207" w:left="1418"/>
        <w:rPr/>
      </w:pPr>
      <w:r>
        <w:rPr/>
        <w:t>Visualizza esito positivo dell’operazione o l’elenco delle anomalie restituito dal SIST</w:t>
      </w:r>
    </w:p>
    <w:p>
      <w:pPr>
        <w:pStyle w:val="Normal"/>
        <w:numPr>
          <w:ilvl w:val="0"/>
          <w:numId w:val="20"/>
        </w:numPr>
        <w:rPr/>
      </w:pPr>
      <w:r>
        <w:rPr/>
        <w:t>Fine</w:t>
      </w:r>
    </w:p>
    <w:p>
      <w:pPr>
        <w:pStyle w:val="Normal"/>
        <w:ind w:left="1571"/>
        <w:rPr/>
      </w:pPr>
      <w:r>
        <w:rPr/>
      </w:r>
    </w:p>
    <w:p>
      <w:pPr>
        <w:pStyle w:val="Normal"/>
        <w:rPr>
          <w:b/>
        </w:rPr>
      </w:pPr>
      <w:r>
        <w:rPr>
          <w:b/>
        </w:rPr>
        <w:t>Erogare prescrizione farmaceutica su ricetta rossa</w:t>
      </w:r>
    </w:p>
    <w:p>
      <w:pPr>
        <w:pStyle w:val="Normal"/>
        <w:numPr>
          <w:ilvl w:val="0"/>
          <w:numId w:val="21"/>
        </w:numPr>
        <w:rPr>
          <w:b/>
        </w:rPr>
      </w:pPr>
      <w:r>
        <w:rPr/>
        <w:t>Inizio</w:t>
      </w:r>
    </w:p>
    <w:p>
      <w:pPr>
        <w:pStyle w:val="Normal"/>
        <w:numPr>
          <w:ilvl w:val="0"/>
          <w:numId w:val="21"/>
        </w:numPr>
        <w:rPr/>
      </w:pPr>
      <w:r>
        <w:rPr/>
        <w:t>Richiesta di identificazione della prescrizione da erogare</w:t>
      </w:r>
    </w:p>
    <w:p>
      <w:pPr>
        <w:pStyle w:val="Normal"/>
        <w:numPr>
          <w:ilvl w:val="0"/>
          <w:numId w:val="21"/>
        </w:numPr>
        <w:rPr/>
      </w:pPr>
      <w:r>
        <w:rPr/>
        <w:t>invoca:getPrescrizioneIdentificata</w:t>
      </w:r>
    </w:p>
    <w:p>
      <w:pPr>
        <w:pStyle w:val="Normal"/>
        <w:numPr>
          <w:ilvl w:val="0"/>
          <w:numId w:val="21"/>
        </w:numPr>
        <w:ind w:hanging="207" w:left="1418"/>
        <w:rPr/>
      </w:pPr>
      <w:r>
        <w:rPr/>
        <w:t>getPrescrizioneIdentificata – Il SIST individua la prescrizione, che può essere restituita o in formato CDA non firmato o i dati della prescrizione di supporto. Il servizio restituisce anche la lista dei farmaci erogati e lo stato della prescrizione</w:t>
      </w:r>
    </w:p>
    <w:p>
      <w:pPr>
        <w:pStyle w:val="Normal"/>
        <w:numPr>
          <w:ilvl w:val="0"/>
          <w:numId w:val="21"/>
        </w:numPr>
        <w:rPr/>
      </w:pPr>
      <w:r>
        <w:rPr/>
        <w:t>Compilazione dei dati di erogazione</w:t>
      </w:r>
    </w:p>
    <w:p>
      <w:pPr>
        <w:pStyle w:val="Normal"/>
        <w:numPr>
          <w:ilvl w:val="0"/>
          <w:numId w:val="21"/>
        </w:numPr>
        <w:ind w:hanging="207" w:left="1418"/>
        <w:rPr/>
      </w:pPr>
      <w:r>
        <w:rPr/>
        <w:t>crea CDA di erogazione con IUP/NRE+E+ yyyyMMddHHmmssSSS e poligrafico di stato</w:t>
      </w:r>
    </w:p>
    <w:p>
      <w:pPr>
        <w:pStyle w:val="Normal"/>
        <w:numPr>
          <w:ilvl w:val="0"/>
          <w:numId w:val="21"/>
        </w:numPr>
        <w:rPr/>
      </w:pPr>
      <w:r>
        <w:rPr/>
        <w:t>Firma CDA di erogazione</w:t>
      </w:r>
    </w:p>
    <w:p>
      <w:pPr>
        <w:pStyle w:val="Normal"/>
        <w:numPr>
          <w:ilvl w:val="0"/>
          <w:numId w:val="21"/>
        </w:numPr>
        <w:rPr/>
      </w:pPr>
      <w:r>
        <w:rPr/>
        <w:t>Invoca:setRegistraErogazioneFarm</w:t>
      </w:r>
    </w:p>
    <w:p>
      <w:pPr>
        <w:pStyle w:val="Normal"/>
        <w:numPr>
          <w:ilvl w:val="0"/>
          <w:numId w:val="21"/>
        </w:numPr>
        <w:rPr/>
      </w:pPr>
      <w:r>
        <w:rPr/>
        <w:t>Visualizza esito positivo dell’operazione o l’elenco delle anomalie restituito dal SIST</w:t>
      </w:r>
    </w:p>
    <w:p>
      <w:pPr>
        <w:pStyle w:val="Normal"/>
        <w:numPr>
          <w:ilvl w:val="0"/>
          <w:numId w:val="21"/>
        </w:numPr>
        <w:rPr/>
      </w:pPr>
      <w:r>
        <w:rPr/>
        <w:t>Fine</w:t>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keepNext w:val="true"/>
        <w:rPr>
          <w:b/>
          <w:bCs/>
        </w:rPr>
      </w:pPr>
      <w:r>
        <w:rPr>
          <w:b/>
          <w:bCs/>
        </w:rPr>
        <w:t>Erogare prescrizione farmaceutica non a carico del SSN</w:t>
      </w:r>
    </w:p>
    <w:p>
      <w:pPr>
        <w:pStyle w:val="Normal"/>
        <w:keepNext w:val="true"/>
        <w:numPr>
          <w:ilvl w:val="0"/>
          <w:numId w:val="30"/>
        </w:numPr>
        <w:rPr>
          <w:b/>
          <w:bCs/>
        </w:rPr>
      </w:pPr>
      <w:r>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farmaceutica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setSospendiErogazioneRilasciaPrescrizione con tipoOperazione 3</w:t>
      </w:r>
    </w:p>
    <w:p>
      <w:pPr>
        <w:pStyle w:val="Normal"/>
        <w:numPr>
          <w:ilvl w:val="0"/>
          <w:numId w:val="33"/>
        </w:numPr>
        <w:rPr/>
      </w:pPr>
      <w:r>
        <w:rPr/>
        <w:t xml:space="preserve">setSospendiErogazioneRilasciaPrescrizione – Il SIST procede all’annullamento della erogazione negli archivi SIST e SAC, facendo tornare la ricetta nello stato da erogare.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pPr>
      <w:bookmarkStart w:id="142" w:name="_Toc173420540"/>
      <w:bookmarkStart w:id="143" w:name="_Toc438993530"/>
      <w:r>
        <w:rPr/>
        <w:t>Erogare prescrizione farmaceutica – Modalità differita</w:t>
      </w:r>
      <w:bookmarkEnd w:id="142"/>
      <w:bookmarkEnd w:id="143"/>
    </w:p>
    <w:p>
      <w:pPr>
        <w:pStyle w:val="Normal"/>
        <w:rPr/>
      </w:pPr>
      <w:r>
        <w:rPr/>
        <w:drawing>
          <wp:inline distT="0" distB="0" distL="0" distR="0">
            <wp:extent cx="5305425" cy="4714875"/>
            <wp:effectExtent l="0" t="0" r="0" b="0"/>
            <wp:docPr id="13" name="Immagin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descr=""/>
                    <pic:cNvPicPr>
                      <a:picLocks noChangeAspect="1" noChangeArrowheads="1"/>
                    </pic:cNvPicPr>
                  </pic:nvPicPr>
                  <pic:blipFill>
                    <a:blip r:embed="rId30"/>
                    <a:stretch>
                      <a:fillRect/>
                    </a:stretch>
                  </pic:blipFill>
                  <pic:spPr bwMode="auto">
                    <a:xfrm>
                      <a:off x="0" y="0"/>
                      <a:ext cx="5305425" cy="4714875"/>
                    </a:xfrm>
                    <a:prstGeom prst="rect">
                      <a:avLst/>
                    </a:prstGeom>
                    <a:noFill/>
                  </pic:spPr>
                </pic:pic>
              </a:graphicData>
            </a:graphic>
          </wp:inline>
        </w:drawing>
      </w:r>
    </w:p>
    <w:p>
      <w:pPr>
        <w:pStyle w:val="Normal"/>
        <w:rPr>
          <w:b/>
        </w:rPr>
      </w:pPr>
      <w:r>
        <w:rPr>
          <w:b/>
        </w:rPr>
      </w:r>
    </w:p>
    <w:p>
      <w:pPr>
        <w:pStyle w:val="Normal"/>
        <w:rPr>
          <w:b/>
        </w:rPr>
      </w:pPr>
      <w:r>
        <w:rPr>
          <w:b/>
        </w:rPr>
      </w:r>
    </w:p>
    <w:p>
      <w:pPr>
        <w:pStyle w:val="Normal"/>
        <w:jc w:val="both"/>
        <w:rPr/>
      </w:pPr>
      <w:r>
        <w:rPr>
          <w:b/>
        </w:rPr>
        <w:t xml:space="preserve">Erogare prescrizione–modalità differita–I servizi SIST getPrescrizioneIdentificata o setRegistraErogazioneFarm non sono raggiungibili </w:t>
      </w:r>
    </w:p>
    <w:p>
      <w:pPr>
        <w:pStyle w:val="Normal"/>
        <w:numPr>
          <w:ilvl w:val="0"/>
          <w:numId w:val="22"/>
        </w:numPr>
        <w:rPr/>
      </w:pPr>
      <w:r>
        <w:rPr/>
        <w:t>Inizio</w:t>
      </w:r>
    </w:p>
    <w:p>
      <w:pPr>
        <w:pStyle w:val="Normal"/>
        <w:numPr>
          <w:ilvl w:val="0"/>
          <w:numId w:val="22"/>
        </w:numPr>
        <w:rPr/>
      </w:pPr>
      <w:r>
        <w:rPr/>
        <w:t xml:space="preserve">Il client è impossibilitato a sottomettere la richiesta al SIST o nella fase di presa in carico della ricetta o nella fase di invio dell’erogazione </w:t>
      </w:r>
    </w:p>
    <w:p>
      <w:pPr>
        <w:pStyle w:val="Normal"/>
        <w:numPr>
          <w:ilvl w:val="0"/>
          <w:numId w:val="22"/>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22"/>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22"/>
        </w:numPr>
        <w:rPr/>
      </w:pPr>
      <w:r>
        <w:rPr/>
        <w:t>Fine.</w:t>
      </w:r>
    </w:p>
    <w:p>
      <w:pPr>
        <w:pStyle w:val="Normal"/>
        <w:rPr/>
      </w:pPr>
      <w:r>
        <w:rPr/>
      </w:r>
    </w:p>
    <w:p>
      <w:pPr>
        <w:pStyle w:val="Normal"/>
        <w:jc w:val="both"/>
        <w:rPr/>
      </w:pPr>
      <w:r>
        <w:rPr>
          <w:b/>
        </w:rPr>
        <w:t xml:space="preserve">Erogare prescrizione–modalità differita– I servizi SIST di erogazione risultano nuovamente raggiungibili </w:t>
      </w:r>
    </w:p>
    <w:p>
      <w:pPr>
        <w:pStyle w:val="Normal"/>
        <w:numPr>
          <w:ilvl w:val="0"/>
          <w:numId w:val="50"/>
        </w:numPr>
        <w:rPr/>
      </w:pPr>
      <w:r>
        <w:rPr/>
        <w:t>Inizio</w:t>
      </w:r>
    </w:p>
    <w:p>
      <w:pPr>
        <w:pStyle w:val="Normal"/>
        <w:numPr>
          <w:ilvl w:val="0"/>
          <w:numId w:val="50"/>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0"/>
        </w:numPr>
        <w:rPr/>
      </w:pPr>
      <w:r>
        <w:rPr/>
        <w:t>Identificazione della ricetta attraverso il servizio getPrescrizioneIdentificata</w:t>
      </w:r>
    </w:p>
    <w:p>
      <w:pPr>
        <w:pStyle w:val="Normal"/>
        <w:numPr>
          <w:ilvl w:val="1"/>
          <w:numId w:val="50"/>
        </w:numPr>
        <w:rPr/>
      </w:pPr>
      <w:r>
        <w:rPr/>
        <w:t>Invocazione del servizio setRegistraErogazioneFarm in modalità differita. La modalità di erogazione differita viene attivata tramite il servizio setRegistraErogazioneFarm impostando le seguenti informazioni aggiuntive:</w:t>
      </w:r>
    </w:p>
    <w:p>
      <w:pPr>
        <w:pStyle w:val="Normal"/>
        <w:numPr>
          <w:ilvl w:val="2"/>
          <w:numId w:val="50"/>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0"/>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0"/>
        </w:numPr>
        <w:rPr/>
      </w:pPr>
      <w:r>
        <w:rPr/>
        <w:t>Fine.</w:t>
      </w:r>
    </w:p>
    <w:p>
      <w:pPr>
        <w:pStyle w:val="Normal"/>
        <w:rPr/>
      </w:pPr>
      <w:r>
        <w:rPr/>
      </w:r>
    </w:p>
    <w:p>
      <w:pPr>
        <w:pStyle w:val="Normal"/>
        <w:rPr/>
      </w:pPr>
      <w:r>
        <w:rPr/>
      </w:r>
    </w:p>
    <w:p>
      <w:pPr>
        <w:pStyle w:val="Normal"/>
        <w:rPr/>
      </w:pPr>
      <w:r>
        <w:rPr/>
      </w:r>
    </w:p>
    <w:p>
      <w:pPr>
        <w:pStyle w:val="Heading3"/>
        <w:rPr/>
      </w:pPr>
      <w:bookmarkStart w:id="144" w:name="_Toc173420541"/>
      <w:bookmarkStart w:id="145" w:name="_Toc438993531"/>
      <w:r>
        <w:rPr/>
        <w:t>Annullare erogazione farmaceutica</w:t>
      </w:r>
      <w:bookmarkEnd w:id="144"/>
      <w:bookmarkEnd w:id="145"/>
    </w:p>
    <w:p>
      <w:pPr>
        <w:pStyle w:val="Normal"/>
        <w:rPr/>
      </w:pPr>
      <w:r>
        <w:rPr/>
        <w:drawing>
          <wp:inline distT="0" distB="0" distL="0" distR="0">
            <wp:extent cx="5305425" cy="5667375"/>
            <wp:effectExtent l="0" t="0" r="0" b="0"/>
            <wp:docPr id="14"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descr=""/>
                    <pic:cNvPicPr>
                      <a:picLocks noChangeAspect="1" noChangeArrowheads="1"/>
                    </pic:cNvPicPr>
                  </pic:nvPicPr>
                  <pic:blipFill>
                    <a:blip r:embed="rId31"/>
                    <a:stretch>
                      <a:fillRect/>
                    </a:stretch>
                  </pic:blipFill>
                  <pic:spPr bwMode="auto">
                    <a:xfrm>
                      <a:off x="0" y="0"/>
                      <a:ext cx="5305425" cy="5667375"/>
                    </a:xfrm>
                    <a:prstGeom prst="rect">
                      <a:avLst/>
                    </a:prstGeom>
                    <a:noFill/>
                  </pic:spPr>
                </pic:pic>
              </a:graphicData>
            </a:graphic>
          </wp:inline>
        </w:drawing>
      </w:r>
    </w:p>
    <w:p>
      <w:pPr>
        <w:pStyle w:val="Normal"/>
        <w:rPr/>
      </w:pPr>
      <w:r>
        <w:rPr/>
      </w:r>
    </w:p>
    <w:p>
      <w:pPr>
        <w:pStyle w:val="Normal"/>
        <w:rPr>
          <w:b/>
        </w:rPr>
      </w:pPr>
      <w:r>
        <w:rPr>
          <w:b/>
        </w:rPr>
        <w:t>Annullare Erogazione Farmaceutica – SIST disponibile</w:t>
      </w:r>
    </w:p>
    <w:p>
      <w:pPr>
        <w:pStyle w:val="Normal"/>
        <w:numPr>
          <w:ilvl w:val="0"/>
          <w:numId w:val="23"/>
        </w:numPr>
        <w:rPr/>
      </w:pPr>
      <w:r>
        <w:rPr/>
        <w:t>Inizio</w:t>
      </w:r>
    </w:p>
    <w:p>
      <w:pPr>
        <w:pStyle w:val="Normal"/>
        <w:numPr>
          <w:ilvl w:val="0"/>
          <w:numId w:val="23"/>
        </w:numPr>
        <w:rPr/>
      </w:pPr>
      <w:r>
        <w:rPr/>
        <w:t>Richiesta annullamento erogazione</w:t>
      </w:r>
    </w:p>
    <w:p>
      <w:pPr>
        <w:pStyle w:val="Normal"/>
        <w:numPr>
          <w:ilvl w:val="0"/>
          <w:numId w:val="23"/>
        </w:numPr>
        <w:rPr/>
      </w:pPr>
      <w:r>
        <w:rPr/>
        <w:t>invoca:setAnnullaErogazioneFarm</w:t>
      </w:r>
    </w:p>
    <w:p>
      <w:pPr>
        <w:pStyle w:val="Normal"/>
        <w:numPr>
          <w:ilvl w:val="0"/>
          <w:numId w:val="23"/>
        </w:numPr>
        <w:rPr/>
      </w:pPr>
      <w:r>
        <w:rPr/>
        <w:t>setAnnullaErogazioneFarm – Il SIST procede all’annullamento dell’erogazione negli archivi SIST e SAC</w:t>
      </w:r>
    </w:p>
    <w:p>
      <w:pPr>
        <w:pStyle w:val="Normal"/>
        <w:numPr>
          <w:ilvl w:val="0"/>
          <w:numId w:val="23"/>
        </w:numPr>
        <w:rPr/>
      </w:pPr>
      <w:r>
        <w:rPr/>
        <w:t>Visualizza l’esito positivo dell’operazione o l’elenco delle anomalie riscontrate</w:t>
      </w:r>
    </w:p>
    <w:p>
      <w:pPr>
        <w:pStyle w:val="Normal"/>
        <w:numPr>
          <w:ilvl w:val="0"/>
          <w:numId w:val="23"/>
        </w:numPr>
        <w:rPr/>
      </w:pPr>
      <w:r>
        <w:rPr/>
        <w:t>Fine</w:t>
      </w:r>
    </w:p>
    <w:p>
      <w:pPr>
        <w:pStyle w:val="Normal"/>
        <w:ind w:left="1440"/>
        <w:rPr/>
      </w:pPr>
      <w:r>
        <w:rPr/>
      </w:r>
    </w:p>
    <w:p>
      <w:pPr>
        <w:pStyle w:val="Normal"/>
        <w:rPr>
          <w:b/>
        </w:rPr>
      </w:pPr>
      <w:r>
        <w:rPr>
          <w:b/>
        </w:rPr>
        <w:t>Annullare erogazione Farmaceutica – setAnnullaErogazioneFarm risulta non disponibile</w:t>
      </w:r>
    </w:p>
    <w:p>
      <w:pPr>
        <w:pStyle w:val="Normal"/>
        <w:numPr>
          <w:ilvl w:val="0"/>
          <w:numId w:val="24"/>
        </w:numPr>
        <w:rPr/>
      </w:pPr>
      <w:r>
        <w:rPr/>
        <w:t>Inizio</w:t>
      </w:r>
    </w:p>
    <w:p>
      <w:pPr>
        <w:pStyle w:val="Normal"/>
        <w:numPr>
          <w:ilvl w:val="0"/>
          <w:numId w:val="24"/>
        </w:numPr>
        <w:rPr/>
      </w:pPr>
      <w:r>
        <w:rPr/>
        <w:t>Richiesta annullamento erogazione</w:t>
      </w:r>
    </w:p>
    <w:p>
      <w:pPr>
        <w:pStyle w:val="Normal"/>
        <w:numPr>
          <w:ilvl w:val="0"/>
          <w:numId w:val="24"/>
        </w:numPr>
        <w:rPr/>
      </w:pPr>
      <w:r>
        <w:rPr/>
        <w:t>invoca:setAnnullaErogazioneFarm (timeout o servizio non disponibile)</w:t>
      </w:r>
    </w:p>
    <w:p>
      <w:pPr>
        <w:pStyle w:val="Normal"/>
        <w:numPr>
          <w:ilvl w:val="0"/>
          <w:numId w:val="24"/>
        </w:numPr>
        <w:rPr/>
      </w:pPr>
      <w:r>
        <w:rPr/>
        <w:t>L’applicativo di cartella clinica schedula la chiamata al servizio finché non ottiene una risposta</w:t>
      </w:r>
    </w:p>
    <w:p>
      <w:pPr>
        <w:pStyle w:val="Normal"/>
        <w:numPr>
          <w:ilvl w:val="0"/>
          <w:numId w:val="24"/>
        </w:numPr>
        <w:rPr/>
      </w:pPr>
      <w:r>
        <w:rPr/>
        <w:t>Fine</w:t>
      </w:r>
    </w:p>
    <w:p>
      <w:pPr>
        <w:pStyle w:val="Normal"/>
        <w:rPr/>
      </w:pPr>
      <w:r>
        <w:rPr/>
      </w:r>
    </w:p>
    <w:p>
      <w:pPr>
        <w:pStyle w:val="Heading3"/>
        <w:rPr/>
      </w:pPr>
      <w:bookmarkStart w:id="146" w:name="_Toc173420542"/>
      <w:bookmarkStart w:id="147" w:name="_Toc438993532"/>
      <w:r>
        <w:rPr/>
        <w:t>Identificare prescrizione farmaceutica</w:t>
      </w:r>
      <w:bookmarkEnd w:id="146"/>
      <w:bookmarkEnd w:id="147"/>
    </w:p>
    <w:p>
      <w:pPr>
        <w:pStyle w:val="Normal"/>
        <w:rPr/>
      </w:pPr>
      <w:r>
        <w:rPr/>
        <w:drawing>
          <wp:inline distT="0" distB="0" distL="0" distR="0">
            <wp:extent cx="5305425" cy="5819775"/>
            <wp:effectExtent l="0" t="0" r="0" b="0"/>
            <wp:docPr id="15"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descr=""/>
                    <pic:cNvPicPr>
                      <a:picLocks noChangeAspect="1" noChangeArrowheads="1"/>
                    </pic:cNvPicPr>
                  </pic:nvPicPr>
                  <pic:blipFill>
                    <a:blip r:embed="rId32"/>
                    <a:stretch>
                      <a:fillRect/>
                    </a:stretch>
                  </pic:blipFill>
                  <pic:spPr bwMode="auto">
                    <a:xfrm>
                      <a:off x="0" y="0"/>
                      <a:ext cx="5305425" cy="5819775"/>
                    </a:xfrm>
                    <a:prstGeom prst="rect">
                      <a:avLst/>
                    </a:prstGeom>
                    <a:noFill/>
                  </pic:spPr>
                </pic:pic>
              </a:graphicData>
            </a:graphic>
          </wp:inline>
        </w:drawing>
      </w:r>
    </w:p>
    <w:p>
      <w:pPr>
        <w:pStyle w:val="Normal"/>
        <w:numPr>
          <w:ilvl w:val="0"/>
          <w:numId w:val="25"/>
        </w:numPr>
        <w:rPr/>
      </w:pPr>
      <w:r>
        <w:rPr/>
        <w:t>Inizio</w:t>
      </w:r>
    </w:p>
    <w:p>
      <w:pPr>
        <w:pStyle w:val="Normal"/>
        <w:numPr>
          <w:ilvl w:val="0"/>
          <w:numId w:val="25"/>
        </w:numPr>
        <w:rPr/>
      </w:pPr>
      <w:r>
        <w:rPr/>
        <w:t>Richiesta identificazione prescrizione</w:t>
      </w:r>
    </w:p>
    <w:p>
      <w:pPr>
        <w:pStyle w:val="Normal"/>
        <w:numPr>
          <w:ilvl w:val="0"/>
          <w:numId w:val="25"/>
        </w:numPr>
        <w:rPr/>
      </w:pPr>
      <w:r>
        <w:rPr/>
        <w:t>invoca:getPrescrizioneIdentificata</w:t>
      </w:r>
    </w:p>
    <w:p>
      <w:pPr>
        <w:pStyle w:val="Normal"/>
        <w:numPr>
          <w:ilvl w:val="0"/>
          <w:numId w:val="25"/>
        </w:numPr>
        <w:ind w:hanging="207" w:left="1418"/>
        <w:rPr/>
      </w:pPr>
      <w:r>
        <w:rP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pPr>
        <w:pStyle w:val="Normal"/>
        <w:numPr>
          <w:ilvl w:val="0"/>
          <w:numId w:val="25"/>
        </w:numPr>
        <w:rPr/>
      </w:pPr>
      <w:r>
        <w:rPr/>
        <w:t>Fine</w:t>
      </w:r>
    </w:p>
    <w:p>
      <w:pPr>
        <w:pStyle w:val="Normal"/>
        <w:rPr/>
      </w:pPr>
      <w:r>
        <w:rPr/>
      </w:r>
    </w:p>
    <w:p>
      <w:pPr>
        <w:pStyle w:val="Heading3"/>
        <w:rPr>
          <w:lang w:val="it-IT"/>
        </w:rPr>
      </w:pPr>
      <w:bookmarkStart w:id="148" w:name="_Toc173420543"/>
      <w:bookmarkStart w:id="149" w:name="_Toc438993533"/>
      <w:r>
        <w:rPr>
          <w:lang w:val="it-IT"/>
        </w:rPr>
        <w:t>Visualizzare dati oscurati di prescrizione farmaceutica</w:t>
      </w:r>
      <w:bookmarkEnd w:id="148"/>
      <w:bookmarkEnd w:id="149"/>
    </w:p>
    <w:p>
      <w:pPr>
        <w:pStyle w:val="Normal"/>
        <w:rPr/>
      </w:pPr>
      <w:r>
        <w:rPr/>
        <w:drawing>
          <wp:inline distT="0" distB="0" distL="0" distR="0">
            <wp:extent cx="5276850" cy="4105275"/>
            <wp:effectExtent l="0" t="0" r="0" b="0"/>
            <wp:docPr id="16"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descr=""/>
                    <pic:cNvPicPr>
                      <a:picLocks noChangeAspect="1" noChangeArrowheads="1"/>
                    </pic:cNvPicPr>
                  </pic:nvPicPr>
                  <pic:blipFill>
                    <a:blip r:embed="rId33"/>
                    <a:stretch>
                      <a:fillRect/>
                    </a:stretch>
                  </pic:blipFill>
                  <pic:spPr bwMode="auto">
                    <a:xfrm>
                      <a:off x="0" y="0"/>
                      <a:ext cx="5276850" cy="4105275"/>
                    </a:xfrm>
                    <a:prstGeom prst="rect">
                      <a:avLst/>
                    </a:prstGeom>
                    <a:noFill/>
                  </pic:spPr>
                </pic:pic>
              </a:graphicData>
            </a:graphic>
          </wp:inline>
        </w:drawing>
      </w:r>
    </w:p>
    <w:p>
      <w:pPr>
        <w:pStyle w:val="Normal"/>
        <w:numPr>
          <w:ilvl w:val="0"/>
          <w:numId w:val="37"/>
        </w:numPr>
        <w:rPr/>
      </w:pPr>
      <w:r>
        <w:rPr/>
        <w:t>Inizio</w:t>
      </w:r>
    </w:p>
    <w:p>
      <w:pPr>
        <w:pStyle w:val="Normal"/>
        <w:numPr>
          <w:ilvl w:val="0"/>
          <w:numId w:val="37"/>
        </w:numPr>
        <w:rPr/>
      </w:pPr>
      <w:r>
        <w:rPr/>
        <w:t>Richiesta identificazione prescrizione</w:t>
      </w:r>
    </w:p>
    <w:p>
      <w:pPr>
        <w:pStyle w:val="Normal"/>
        <w:numPr>
          <w:ilvl w:val="0"/>
          <w:numId w:val="37"/>
        </w:numPr>
        <w:rPr/>
      </w:pPr>
      <w:r>
        <w:rPr/>
        <w:t>invoca:getPrescrizioneIdentificata</w:t>
      </w:r>
    </w:p>
    <w:p>
      <w:pPr>
        <w:pStyle w:val="Normal"/>
        <w:numPr>
          <w:ilvl w:val="0"/>
          <w:numId w:val="37"/>
        </w:numPr>
        <w:rPr/>
      </w:pPr>
      <w:r>
        <w:rPr/>
        <w:t xml:space="preserve">Il SIST procede all’identificazione della prescrizione. Il sistema in caso di identificazione restituisce o il CDA di prescrizione altrimenti i dati atomici. </w:t>
      </w:r>
    </w:p>
    <w:p>
      <w:pPr>
        <w:pStyle w:val="Normal"/>
        <w:numPr>
          <w:ilvl w:val="0"/>
          <w:numId w:val="37"/>
        </w:numPr>
        <w:rPr/>
      </w:pPr>
      <w:r>
        <w:rPr/>
        <w:t>Se l’erogatore intende visualizzare i dati oscurati sulla ricetta deve richiamare il servizio getPrescrizioneIdentificata avvalorando il tag tipoOperazione=4</w:t>
      </w:r>
    </w:p>
    <w:p>
      <w:pPr>
        <w:pStyle w:val="Normal"/>
        <w:numPr>
          <w:ilvl w:val="0"/>
          <w:numId w:val="37"/>
        </w:numPr>
        <w:rPr/>
      </w:pPr>
      <w:r>
        <w:rPr/>
        <w:t>Il SIST procede alla restituzione dei dati in chiaro dell’assistito nell’apposita struttura dati.</w:t>
      </w:r>
    </w:p>
    <w:p>
      <w:pPr>
        <w:pStyle w:val="Normal"/>
        <w:numPr>
          <w:ilvl w:val="0"/>
          <w:numId w:val="37"/>
        </w:numPr>
        <w:rPr/>
      </w:pPr>
      <w:r>
        <w:rPr/>
        <w:t>Fine</w:t>
      </w:r>
    </w:p>
    <w:p>
      <w:pPr>
        <w:pStyle w:val="Normal"/>
        <w:rPr/>
      </w:pPr>
      <w:r>
        <w:rPr/>
      </w:r>
    </w:p>
    <w:p>
      <w:pPr>
        <w:pStyle w:val="Heading3"/>
        <w:rPr>
          <w:lang w:val="it-IT"/>
        </w:rPr>
      </w:pPr>
      <w:bookmarkStart w:id="150" w:name="_Toc173420544"/>
      <w:bookmarkStart w:id="151" w:name="_Toc438993534"/>
      <w:r>
        <w:rPr>
          <w:lang w:val="it-IT"/>
        </w:rPr>
        <w:t>Sospendere erogazione farmaceutica – Revocare la sospensione – Rilasciare la presa in carico – Terminare le erogazioni singole</w:t>
      </w:r>
      <w:bookmarkEnd w:id="150"/>
      <w:bookmarkEnd w:id="151"/>
    </w:p>
    <w:p>
      <w:pPr>
        <w:pStyle w:val="Normal"/>
        <w:rPr/>
      </w:pPr>
      <w:r>
        <w:rPr/>
        <w:drawing>
          <wp:inline distT="0" distB="0" distL="0" distR="0">
            <wp:extent cx="5305425" cy="5314950"/>
            <wp:effectExtent l="0" t="0" r="0" b="0"/>
            <wp:docPr id="17"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descr=""/>
                    <pic:cNvPicPr>
                      <a:picLocks noChangeAspect="1" noChangeArrowheads="1"/>
                    </pic:cNvPicPr>
                  </pic:nvPicPr>
                  <pic:blipFill>
                    <a:blip r:embed="rId34"/>
                    <a:stretch>
                      <a:fillRect/>
                    </a:stretch>
                  </pic:blipFill>
                  <pic:spPr bwMode="auto">
                    <a:xfrm>
                      <a:off x="0" y="0"/>
                      <a:ext cx="5305425" cy="5314950"/>
                    </a:xfrm>
                    <a:prstGeom prst="rect">
                      <a:avLst/>
                    </a:prstGeom>
                    <a:noFill/>
                  </pic:spPr>
                </pic:pic>
              </a:graphicData>
            </a:graphic>
          </wp:inline>
        </w:drawing>
      </w:r>
    </w:p>
    <w:p>
      <w:pPr>
        <w:pStyle w:val="Normal"/>
        <w:rPr/>
      </w:pPr>
      <w:r>
        <w:rPr/>
      </w:r>
    </w:p>
    <w:p>
      <w:pPr>
        <w:pStyle w:val="Normal"/>
        <w:rPr>
          <w:b/>
        </w:rPr>
      </w:pPr>
      <w:r>
        <w:rPr>
          <w:b/>
        </w:rPr>
        <w:t>Sospendere Erogazione Farmaceutica – SIST disponibile</w:t>
      </w:r>
    </w:p>
    <w:p>
      <w:pPr>
        <w:pStyle w:val="Normal"/>
        <w:numPr>
          <w:ilvl w:val="0"/>
          <w:numId w:val="26"/>
        </w:numPr>
        <w:rPr/>
      </w:pPr>
      <w:r>
        <w:rPr/>
        <w:t>Inizio</w:t>
      </w:r>
    </w:p>
    <w:p>
      <w:pPr>
        <w:pStyle w:val="Normal"/>
        <w:numPr>
          <w:ilvl w:val="0"/>
          <w:numId w:val="26"/>
        </w:numPr>
        <w:rPr/>
      </w:pPr>
      <w:r>
        <w:rPr/>
        <w:t>Richiesta sospensione erogazione</w:t>
      </w:r>
    </w:p>
    <w:p>
      <w:pPr>
        <w:pStyle w:val="Normal"/>
        <w:numPr>
          <w:ilvl w:val="0"/>
          <w:numId w:val="26"/>
        </w:numPr>
        <w:rPr/>
      </w:pPr>
      <w:r>
        <w:rPr/>
        <w:t>invoca:setSospendiErogazioneRilasciaPrescrizione con tipo Operazione = 1</w:t>
      </w:r>
    </w:p>
    <w:p>
      <w:pPr>
        <w:pStyle w:val="Normal"/>
        <w:numPr>
          <w:ilvl w:val="0"/>
          <w:numId w:val="26"/>
        </w:numPr>
        <w:rPr/>
      </w:pPr>
      <w:r>
        <w:rPr/>
        <w:t>setSospendiErogazioneRilasciaPrescrizione – Il SIST procede alla sospensione dell’erogazione negli archivi SIST e SAC</w:t>
      </w:r>
    </w:p>
    <w:p>
      <w:pPr>
        <w:pStyle w:val="Normal"/>
        <w:numPr>
          <w:ilvl w:val="0"/>
          <w:numId w:val="26"/>
        </w:numPr>
        <w:rPr/>
      </w:pPr>
      <w:r>
        <w:rPr/>
        <w:t>Visualizza l’esito positivo dell’operazione o l’elenco delle anomalie riscontrate</w:t>
      </w:r>
    </w:p>
    <w:p>
      <w:pPr>
        <w:pStyle w:val="Normal"/>
        <w:numPr>
          <w:ilvl w:val="0"/>
          <w:numId w:val="26"/>
        </w:numPr>
        <w:rPr/>
      </w:pPr>
      <w:r>
        <w:rPr/>
        <w:t>Fine</w:t>
      </w:r>
    </w:p>
    <w:p>
      <w:pPr>
        <w:pStyle w:val="Normal"/>
        <w:ind w:left="1440"/>
        <w:rPr/>
      </w:pPr>
      <w:r>
        <w:rPr/>
      </w:r>
    </w:p>
    <w:p>
      <w:pPr>
        <w:pStyle w:val="Normal"/>
        <w:rPr>
          <w:b/>
        </w:rPr>
      </w:pPr>
      <w:r>
        <w:rPr>
          <w:b/>
        </w:rPr>
        <w:t>Sospendere erogazione Farmaceutica – setSospendiErogazioneRilasciaPrescrizione risulta non disponibile</w:t>
      </w:r>
    </w:p>
    <w:p>
      <w:pPr>
        <w:pStyle w:val="Normal"/>
        <w:numPr>
          <w:ilvl w:val="0"/>
          <w:numId w:val="27"/>
        </w:numPr>
        <w:rPr/>
      </w:pPr>
      <w:r>
        <w:rPr/>
        <w:t>Inizio</w:t>
      </w:r>
    </w:p>
    <w:p>
      <w:pPr>
        <w:pStyle w:val="Normal"/>
        <w:numPr>
          <w:ilvl w:val="0"/>
          <w:numId w:val="27"/>
        </w:numPr>
        <w:rPr/>
      </w:pPr>
      <w:r>
        <w:rPr/>
        <w:t>Richiesta sospensione erogazione</w:t>
      </w:r>
    </w:p>
    <w:p>
      <w:pPr>
        <w:pStyle w:val="Normal"/>
        <w:numPr>
          <w:ilvl w:val="0"/>
          <w:numId w:val="27"/>
        </w:numPr>
        <w:rPr/>
      </w:pPr>
      <w:r>
        <w:rPr/>
        <w:t>invoca:setSospendiErogazioneRilasciaPrescrizione con tipoOperezione=1 (timeout o servizio non disponibile)</w:t>
      </w:r>
    </w:p>
    <w:p>
      <w:pPr>
        <w:pStyle w:val="Normal"/>
        <w:numPr>
          <w:ilvl w:val="0"/>
          <w:numId w:val="27"/>
        </w:numPr>
        <w:rPr/>
      </w:pPr>
      <w:r>
        <w:rPr/>
        <w:t>Il gestionale di farmacia schedula la chiamata al servizio finchè non ottiene una risposta</w:t>
      </w:r>
    </w:p>
    <w:p>
      <w:pPr>
        <w:pStyle w:val="Normal"/>
        <w:numPr>
          <w:ilvl w:val="0"/>
          <w:numId w:val="27"/>
        </w:numPr>
        <w:rPr/>
      </w:pPr>
      <w:r>
        <w:rPr/>
        <w:t>Fine</w:t>
      </w:r>
    </w:p>
    <w:p>
      <w:pPr>
        <w:pStyle w:val="Normal"/>
        <w:rPr/>
      </w:pPr>
      <w:r>
        <w:rPr/>
      </w:r>
    </w:p>
    <w:p>
      <w:pPr>
        <w:pStyle w:val="Normal"/>
        <w:rPr>
          <w:b/>
          <w:bCs/>
        </w:rPr>
      </w:pPr>
      <w:r>
        <w:rPr>
          <w:b/>
          <w:bCs/>
        </w:rPr>
        <w:t>Revocare la sospensione - SIST disponibile</w:t>
      </w:r>
    </w:p>
    <w:p>
      <w:pPr>
        <w:pStyle w:val="Normal"/>
        <w:numPr>
          <w:ilvl w:val="0"/>
          <w:numId w:val="38"/>
        </w:numPr>
        <w:rPr/>
      </w:pPr>
      <w:r>
        <w:rPr/>
        <w:t>Inizio</w:t>
      </w:r>
    </w:p>
    <w:p>
      <w:pPr>
        <w:pStyle w:val="Normal"/>
        <w:numPr>
          <w:ilvl w:val="0"/>
          <w:numId w:val="38"/>
        </w:numPr>
        <w:rPr/>
      </w:pPr>
      <w:r>
        <w:rPr/>
        <w:t>Richiesta di revoca della sospensione di erogazione</w:t>
      </w:r>
    </w:p>
    <w:p>
      <w:pPr>
        <w:pStyle w:val="Normal"/>
        <w:numPr>
          <w:ilvl w:val="0"/>
          <w:numId w:val="38"/>
        </w:numPr>
        <w:rPr/>
      </w:pPr>
      <w:r>
        <w:rPr/>
        <w:t>invoca:setSospendiErogazioneRilasciaPrescrizione con tipoOperazione = 2</w:t>
      </w:r>
    </w:p>
    <w:p>
      <w:pPr>
        <w:pStyle w:val="Normal"/>
        <w:numPr>
          <w:ilvl w:val="0"/>
          <w:numId w:val="38"/>
        </w:numPr>
        <w:rPr/>
      </w:pPr>
      <w:r>
        <w:rPr/>
        <w:t>setSospendiErogazioneRilasciaPrescrizione – Il SIST procede alla revoca della sospensione dell’erogazione negli archivi SIST e SAC</w:t>
      </w:r>
    </w:p>
    <w:p>
      <w:pPr>
        <w:pStyle w:val="Normal"/>
        <w:numPr>
          <w:ilvl w:val="0"/>
          <w:numId w:val="38"/>
        </w:numPr>
        <w:rPr/>
      </w:pPr>
      <w:r>
        <w:rPr/>
        <w:t>Visualizza l’esito positivo dell’operazione o l’elenco delle anomalie riscontrate</w:t>
      </w:r>
    </w:p>
    <w:p>
      <w:pPr>
        <w:pStyle w:val="Normal"/>
        <w:numPr>
          <w:ilvl w:val="0"/>
          <w:numId w:val="38"/>
        </w:numPr>
        <w:rPr/>
      </w:pPr>
      <w:r>
        <w:rPr/>
        <w:t>Fine</w:t>
      </w:r>
    </w:p>
    <w:p>
      <w:pPr>
        <w:pStyle w:val="Normal"/>
        <w:ind w:left="1440"/>
        <w:rPr/>
      </w:pPr>
      <w:r>
        <w:rPr/>
      </w:r>
    </w:p>
    <w:p>
      <w:pPr>
        <w:pStyle w:val="Normal"/>
        <w:rPr>
          <w:b/>
        </w:rPr>
      </w:pPr>
      <w:r>
        <w:rPr>
          <w:b/>
        </w:rPr>
        <w:t>Revocare la sospensione – setSospendiErogazioneRilasciaPrescrizione risulta non disponibile</w:t>
      </w:r>
    </w:p>
    <w:p>
      <w:pPr>
        <w:pStyle w:val="Normal"/>
        <w:numPr>
          <w:ilvl w:val="0"/>
          <w:numId w:val="39"/>
        </w:numPr>
        <w:rPr/>
      </w:pPr>
      <w:r>
        <w:rPr/>
        <w:t>Inizio</w:t>
      </w:r>
    </w:p>
    <w:p>
      <w:pPr>
        <w:pStyle w:val="Normal"/>
        <w:numPr>
          <w:ilvl w:val="0"/>
          <w:numId w:val="39"/>
        </w:numPr>
        <w:rPr/>
      </w:pPr>
      <w:r>
        <w:rPr/>
        <w:t>Richiesta di revoca della sospensione di erogazione</w:t>
      </w:r>
    </w:p>
    <w:p>
      <w:pPr>
        <w:pStyle w:val="Normal"/>
        <w:numPr>
          <w:ilvl w:val="0"/>
          <w:numId w:val="39"/>
        </w:numPr>
        <w:rPr/>
      </w:pPr>
      <w:r>
        <w:rPr/>
        <w:t>invoca:setSospendiErogazioneRilasciaPrescrizione con tipoOperezione=2 (timeout o servizio non disponibile)</w:t>
      </w:r>
    </w:p>
    <w:p>
      <w:pPr>
        <w:pStyle w:val="Normal"/>
        <w:numPr>
          <w:ilvl w:val="0"/>
          <w:numId w:val="39"/>
        </w:numPr>
        <w:rPr/>
      </w:pPr>
      <w:r>
        <w:rPr/>
        <w:t>Il gestionale di farmacia schedula la chiamata al servizio finchè non ottiene una risposta</w:t>
      </w:r>
    </w:p>
    <w:p>
      <w:pPr>
        <w:pStyle w:val="Normal"/>
        <w:numPr>
          <w:ilvl w:val="0"/>
          <w:numId w:val="39"/>
        </w:numPr>
        <w:rPr/>
      </w:pPr>
      <w:r>
        <w:rPr/>
        <w:t>Fine</w:t>
      </w:r>
    </w:p>
    <w:p>
      <w:pPr>
        <w:pStyle w:val="Normal"/>
        <w:rPr>
          <w:b/>
          <w:bCs/>
        </w:rPr>
      </w:pPr>
      <w:r>
        <w:rPr>
          <w:b/>
          <w:bCs/>
        </w:rPr>
        <w:t>Rilasciare la presa in carico - SIST disponibile</w:t>
      </w:r>
    </w:p>
    <w:p>
      <w:pPr>
        <w:pStyle w:val="Normal"/>
        <w:numPr>
          <w:ilvl w:val="0"/>
          <w:numId w:val="40"/>
        </w:numPr>
        <w:rPr/>
      </w:pPr>
      <w:r>
        <w:rPr/>
        <w:t>Inizio</w:t>
      </w:r>
    </w:p>
    <w:p>
      <w:pPr>
        <w:pStyle w:val="Normal"/>
        <w:numPr>
          <w:ilvl w:val="0"/>
          <w:numId w:val="40"/>
        </w:numPr>
        <w:rPr/>
      </w:pPr>
      <w:r>
        <w:rPr/>
        <w:t>Richiesta di rilascio della presa in carico</w:t>
      </w:r>
    </w:p>
    <w:p>
      <w:pPr>
        <w:pStyle w:val="Normal"/>
        <w:numPr>
          <w:ilvl w:val="0"/>
          <w:numId w:val="40"/>
        </w:numPr>
        <w:rPr/>
      </w:pPr>
      <w:r>
        <w:rPr/>
        <w:t>invoca:setSospendiErogazioneRilasciaPrescrizione con tipoOperazione = 3</w:t>
      </w:r>
    </w:p>
    <w:p>
      <w:pPr>
        <w:pStyle w:val="Normal"/>
        <w:numPr>
          <w:ilvl w:val="0"/>
          <w:numId w:val="40"/>
        </w:numPr>
        <w:rPr/>
      </w:pPr>
      <w:r>
        <w:rPr/>
        <w:t>setSospendiErogazioneRilasciaPrescrizione – Il SIST procede al rilascio della presa in carico negli archivi SIST e SAC</w:t>
      </w:r>
    </w:p>
    <w:p>
      <w:pPr>
        <w:pStyle w:val="Normal"/>
        <w:numPr>
          <w:ilvl w:val="0"/>
          <w:numId w:val="40"/>
        </w:numPr>
        <w:rPr/>
      </w:pPr>
      <w:r>
        <w:rPr/>
        <w:t>Visualizza l’esito positivo dell’operazione o l’elenco delle anomalie riscontrate</w:t>
      </w:r>
    </w:p>
    <w:p>
      <w:pPr>
        <w:pStyle w:val="Normal"/>
        <w:numPr>
          <w:ilvl w:val="0"/>
          <w:numId w:val="40"/>
        </w:numPr>
        <w:rPr/>
      </w:pPr>
      <w:r>
        <w:rPr/>
        <w:t>Fine</w:t>
      </w:r>
    </w:p>
    <w:p>
      <w:pPr>
        <w:pStyle w:val="Normal"/>
        <w:ind w:left="1440"/>
        <w:rPr/>
      </w:pPr>
      <w:r>
        <w:rPr/>
      </w:r>
    </w:p>
    <w:p>
      <w:pPr>
        <w:pStyle w:val="Normal"/>
        <w:rPr>
          <w:b/>
        </w:rPr>
      </w:pPr>
      <w:r>
        <w:rPr>
          <w:b/>
        </w:rPr>
        <w:t>Rilasciare la presa in carico– setSospendiErogazioneRilasciaPrescrizione risulta non disponibile</w:t>
      </w:r>
    </w:p>
    <w:p>
      <w:pPr>
        <w:pStyle w:val="Normal"/>
        <w:numPr>
          <w:ilvl w:val="0"/>
          <w:numId w:val="41"/>
        </w:numPr>
        <w:rPr/>
      </w:pPr>
      <w:r>
        <w:rPr/>
        <w:t>Inizio</w:t>
      </w:r>
    </w:p>
    <w:p>
      <w:pPr>
        <w:pStyle w:val="Normal"/>
        <w:numPr>
          <w:ilvl w:val="0"/>
          <w:numId w:val="41"/>
        </w:numPr>
        <w:rPr/>
      </w:pPr>
      <w:r>
        <w:rPr/>
        <w:t>Richiesta di rilascio della presa in carico</w:t>
      </w:r>
    </w:p>
    <w:p>
      <w:pPr>
        <w:pStyle w:val="Normal"/>
        <w:numPr>
          <w:ilvl w:val="0"/>
          <w:numId w:val="41"/>
        </w:numPr>
        <w:rPr/>
      </w:pPr>
      <w:r>
        <w:rPr/>
        <w:t>invoca:setSospendiErogazioneRilasciaPrescrizione con tipoOperezione=3 (timeout o servizio non disponibile)</w:t>
      </w:r>
    </w:p>
    <w:p>
      <w:pPr>
        <w:pStyle w:val="Normal"/>
        <w:numPr>
          <w:ilvl w:val="0"/>
          <w:numId w:val="41"/>
        </w:numPr>
        <w:rPr/>
      </w:pPr>
      <w:r>
        <w:rPr/>
        <w:t>Il gestionale di farmacia schedula la chiamata al servizio finchè non ottiente una risposta</w:t>
      </w:r>
    </w:p>
    <w:p>
      <w:pPr>
        <w:pStyle w:val="Normal"/>
        <w:numPr>
          <w:ilvl w:val="0"/>
          <w:numId w:val="41"/>
        </w:numPr>
        <w:rPr/>
      </w:pPr>
      <w:r>
        <w:rPr/>
        <w:t>Fine</w:t>
      </w:r>
    </w:p>
    <w:p>
      <w:pPr>
        <w:pStyle w:val="Normal"/>
        <w:ind w:left="1440"/>
        <w:rPr/>
      </w:pPr>
      <w:r>
        <w:rPr/>
      </w:r>
    </w:p>
    <w:p>
      <w:pPr>
        <w:pStyle w:val="Normal"/>
        <w:rPr>
          <w:b/>
        </w:rPr>
      </w:pPr>
      <w:r>
        <w:rPr>
          <w:b/>
        </w:rPr>
        <w:t>Terminare le erogazioni singole – SIST disponibile</w:t>
      </w:r>
    </w:p>
    <w:p>
      <w:pPr>
        <w:pStyle w:val="Normal"/>
        <w:numPr>
          <w:ilvl w:val="0"/>
          <w:numId w:val="42"/>
        </w:numPr>
        <w:rPr/>
      </w:pPr>
      <w:r>
        <w:rPr/>
        <w:t>Inizio</w:t>
      </w:r>
    </w:p>
    <w:p>
      <w:pPr>
        <w:pStyle w:val="Normal"/>
        <w:numPr>
          <w:ilvl w:val="0"/>
          <w:numId w:val="42"/>
        </w:numPr>
        <w:rPr/>
      </w:pPr>
      <w:r>
        <w:rPr/>
        <w:t>Richiesta di chiusura di erogazioni singole</w:t>
      </w:r>
    </w:p>
    <w:p>
      <w:pPr>
        <w:pStyle w:val="Normal"/>
        <w:numPr>
          <w:ilvl w:val="0"/>
          <w:numId w:val="42"/>
        </w:numPr>
        <w:rPr/>
      </w:pPr>
      <w:r>
        <w:rPr/>
        <w:t>invoca:setSospendiErogazioneRilasciaPrescrizione con tipoOperazione = 6</w:t>
      </w:r>
    </w:p>
    <w:p>
      <w:pPr>
        <w:pStyle w:val="Normal"/>
        <w:numPr>
          <w:ilvl w:val="0"/>
          <w:numId w:val="42"/>
        </w:numPr>
        <w:rPr/>
      </w:pPr>
      <w:r>
        <w:rPr/>
        <w:t>setSospendiErogazioneRilasciaPrescrizione – Il SIST procede alla chiusura di erogazioni singole negli archivi SIST e SAC</w:t>
      </w:r>
    </w:p>
    <w:p>
      <w:pPr>
        <w:pStyle w:val="Normal"/>
        <w:numPr>
          <w:ilvl w:val="0"/>
          <w:numId w:val="42"/>
        </w:numPr>
        <w:rPr/>
      </w:pPr>
      <w:r>
        <w:rPr/>
        <w:t>Visualizza l’esito positivo dell’operazione o l’elenco delle anomalie riscontrate</w:t>
      </w:r>
    </w:p>
    <w:p>
      <w:pPr>
        <w:pStyle w:val="Normal"/>
        <w:numPr>
          <w:ilvl w:val="0"/>
          <w:numId w:val="42"/>
        </w:numPr>
        <w:rPr/>
      </w:pPr>
      <w:r>
        <w:rPr/>
        <w:t>Fine</w:t>
      </w:r>
    </w:p>
    <w:p>
      <w:pPr>
        <w:pStyle w:val="Normal"/>
        <w:ind w:left="1440"/>
        <w:rPr/>
      </w:pPr>
      <w:r>
        <w:rPr/>
      </w:r>
    </w:p>
    <w:p>
      <w:pPr>
        <w:pStyle w:val="Normal"/>
        <w:rPr>
          <w:b/>
        </w:rPr>
      </w:pPr>
      <w:r>
        <w:rPr>
          <w:b/>
        </w:rPr>
        <w:t>Terminare le erogazioni singole – setSospendiErogazioneRilasciaPrescrizione risulta non disponibile</w:t>
      </w:r>
    </w:p>
    <w:p>
      <w:pPr>
        <w:pStyle w:val="Normal"/>
        <w:numPr>
          <w:ilvl w:val="0"/>
          <w:numId w:val="43"/>
        </w:numPr>
        <w:rPr/>
      </w:pPr>
      <w:r>
        <w:rPr/>
        <w:t>Inizio</w:t>
      </w:r>
    </w:p>
    <w:p>
      <w:pPr>
        <w:pStyle w:val="Normal"/>
        <w:numPr>
          <w:ilvl w:val="0"/>
          <w:numId w:val="43"/>
        </w:numPr>
        <w:rPr/>
      </w:pPr>
      <w:r>
        <w:rPr/>
        <w:t>Richiesta di chiusura di erogazioni singole</w:t>
      </w:r>
    </w:p>
    <w:p>
      <w:pPr>
        <w:pStyle w:val="Normal"/>
        <w:numPr>
          <w:ilvl w:val="0"/>
          <w:numId w:val="43"/>
        </w:numPr>
        <w:rPr/>
      </w:pPr>
      <w:r>
        <w:rPr/>
        <w:t>invoca:setSospendiErogazioneRilasciaPrescrizione con tipoOperezione=6 (timeout o servizio non disponibile)</w:t>
      </w:r>
    </w:p>
    <w:p>
      <w:pPr>
        <w:pStyle w:val="Normal"/>
        <w:numPr>
          <w:ilvl w:val="0"/>
          <w:numId w:val="43"/>
        </w:numPr>
        <w:rPr/>
      </w:pPr>
      <w:r>
        <w:rPr/>
        <w:t>Il gestionale di farmacia schedula la chiamata al servizio finché non ottiene una risposta</w:t>
      </w:r>
    </w:p>
    <w:p>
      <w:pPr>
        <w:pStyle w:val="Normal"/>
        <w:numPr>
          <w:ilvl w:val="0"/>
          <w:numId w:val="43"/>
        </w:numPr>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152" w:name="_Toc173420545"/>
      <w:bookmarkStart w:id="153" w:name="_Toc438993535"/>
      <w:r>
        <w:rPr/>
        <w:t>Scenari di integrazione per applicativi CUP</w:t>
      </w:r>
      <w:bookmarkEnd w:id="152"/>
      <w:bookmarkEnd w:id="153"/>
    </w:p>
    <w:p>
      <w:pPr>
        <w:sectPr>
          <w:headerReference w:type="even" r:id="rId35"/>
          <w:headerReference w:type="default" r:id="rId36"/>
          <w:headerReference w:type="first" r:id="rId37"/>
          <w:footerReference w:type="even" r:id="rId38"/>
          <w:footerReference w:type="default" r:id="rId39"/>
          <w:footerReference w:type="first" r:id="rId40"/>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4" w:name="_Toc173420546"/>
      <w:bookmarkStart w:id="155" w:name="_Toc438993536"/>
      <w:r>
        <w:rPr/>
        <w:t>Prenotare erogazione specialistica</w:t>
      </w:r>
      <w:bookmarkEnd w:id="154"/>
      <w:bookmarkEnd w:id="155"/>
    </w:p>
    <w:p>
      <w:pPr>
        <w:sectPr>
          <w:headerReference w:type="even" r:id="rId42"/>
          <w:headerReference w:type="default" r:id="rId43"/>
          <w:headerReference w:type="first" r:id="rId44"/>
          <w:footerReference w:type="even" r:id="rId45"/>
          <w:footerReference w:type="default" r:id="rId46"/>
          <w:footerReference w:type="first" r:id="rId47"/>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353425" cy="5172075"/>
            <wp:effectExtent l="0" t="0" r="0" b="0"/>
            <wp:docPr id="18"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descr=""/>
                    <pic:cNvPicPr>
                      <a:picLocks noChangeAspect="1" noChangeArrowheads="1"/>
                    </pic:cNvPicPr>
                  </pic:nvPicPr>
                  <pic:blipFill>
                    <a:blip r:embed="rId41"/>
                    <a:stretch>
                      <a:fillRect/>
                    </a:stretch>
                  </pic:blipFill>
                  <pic:spPr bwMode="auto">
                    <a:xfrm>
                      <a:off x="0" y="0"/>
                      <a:ext cx="8353425" cy="5172075"/>
                    </a:xfrm>
                    <a:prstGeom prst="rect">
                      <a:avLst/>
                    </a:prstGeom>
                    <a:noFill/>
                  </pic:spPr>
                </pic:pic>
              </a:graphicData>
            </a:graphic>
          </wp:inline>
        </w:drawing>
      </w:r>
    </w:p>
    <w:p>
      <w:pPr>
        <w:pStyle w:val="Normal"/>
        <w:rPr>
          <w:b/>
        </w:rPr>
      </w:pPr>
      <w:r>
        <w:rPr>
          <w:b/>
        </w:rPr>
        <w:t>Prenotare Erogare specialistica – SIST disponibile</w:t>
      </w:r>
    </w:p>
    <w:p>
      <w:pPr>
        <w:pStyle w:val="Normal"/>
        <w:rPr>
          <w:b/>
          <w:bCs/>
        </w:rPr>
      </w:pPr>
      <w:r>
        <w:rPr/>
        <w:t>Inizio</w:t>
      </w:r>
    </w:p>
    <w:p>
      <w:pPr>
        <w:pStyle w:val="Normal"/>
        <w:rPr/>
      </w:pPr>
      <w:r>
        <w:rPr/>
        <w:t>richiesta di identificazione della prescrizione da erogare</w:t>
      </w:r>
    </w:p>
    <w:p>
      <w:pPr>
        <w:pStyle w:val="Normal"/>
        <w:rPr/>
      </w:pPr>
      <w:r>
        <w:rPr/>
        <w:t>invoca:getPrescrizioneIdentificata</w:t>
      </w:r>
    </w:p>
    <w:p>
      <w:pPr>
        <w:pStyle w:val="Normal"/>
        <w:rPr/>
      </w:pPr>
      <w:r>
        <w:rPr/>
        <w:t>getPrescrizioneIdentificata – Il SIST individua la prescrizione. La prescrizione identificata può essere restituita o in formato CDA non firmato o se non presente saranno restituiti i dati atomici della prescrizione.</w:t>
      </w:r>
    </w:p>
    <w:p>
      <w:pPr>
        <w:pStyle w:val="Normal"/>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rPr/>
      </w:pPr>
      <w:r>
        <w:rPr/>
        <w:t>invoca:setCambioStatoPrescrizione</w:t>
      </w:r>
    </w:p>
    <w:p>
      <w:pPr>
        <w:pStyle w:val="Normal"/>
        <w:rPr/>
      </w:pPr>
      <w:r>
        <w:rPr/>
        <w:t>setCambioStatoPrescrizione – Il SIST accoglie la prenotazione prendendo in carico la prestazione specialistica</w:t>
      </w:r>
    </w:p>
    <w:p>
      <w:pPr>
        <w:pStyle w:val="Normal"/>
        <w:rPr/>
      </w:pPr>
      <w:r>
        <w:rPr/>
        <w:t>visualizza esito operazione</w:t>
      </w:r>
    </w:p>
    <w:p>
      <w:pPr>
        <w:pStyle w:val="Normal"/>
        <w:rPr/>
      </w:pPr>
      <w:r>
        <w:rPr/>
        <w:t>Fine</w:t>
      </w:r>
    </w:p>
    <w:p>
      <w:pPr>
        <w:pStyle w:val="Normal"/>
        <w:rPr/>
      </w:pPr>
      <w:r>
        <w:rPr/>
      </w:r>
    </w:p>
    <w:p>
      <w:pPr>
        <w:pStyle w:val="Normal"/>
        <w:rPr>
          <w:b/>
        </w:rPr>
      </w:pPr>
      <w:r>
        <w:rPr>
          <w:b/>
        </w:rPr>
        <w:t>Prenotare Erogare specialistica –getPrescrizioneIdentificata risulta non disponibile</w:t>
      </w:r>
    </w:p>
    <w:p>
      <w:pPr>
        <w:pStyle w:val="Normal"/>
        <w:numPr>
          <w:ilvl w:val="0"/>
          <w:numId w:val="28"/>
        </w:numPr>
        <w:rPr/>
      </w:pPr>
      <w:r>
        <w:rPr/>
        <w:t>Inizio</w:t>
      </w:r>
    </w:p>
    <w:p>
      <w:pPr>
        <w:pStyle w:val="Normal"/>
        <w:numPr>
          <w:ilvl w:val="0"/>
          <w:numId w:val="28"/>
        </w:numPr>
        <w:rPr/>
      </w:pPr>
      <w:r>
        <w:rPr/>
        <w:t>richiesta di identificazione della prescrizione da erogare</w:t>
      </w:r>
    </w:p>
    <w:p>
      <w:pPr>
        <w:pStyle w:val="Normal"/>
        <w:numPr>
          <w:ilvl w:val="0"/>
          <w:numId w:val="28"/>
        </w:numPr>
        <w:rPr/>
      </w:pPr>
      <w:r>
        <w:rPr/>
        <w:t>invoca:getPrescrizioneIdentificata (timeout o servizio non disponibile)</w:t>
      </w:r>
    </w:p>
    <w:p>
      <w:pPr>
        <w:pStyle w:val="Normal"/>
        <w:numPr>
          <w:ilvl w:val="0"/>
          <w:numId w:val="28"/>
        </w:numPr>
        <w:rPr/>
      </w:pPr>
      <w:r>
        <w:rPr/>
        <w:t>ricerca delle strutture disponibili sulla base della prescrizione cartacea</w:t>
      </w:r>
    </w:p>
    <w:p>
      <w:pPr>
        <w:pStyle w:val="Normal"/>
        <w:numPr>
          <w:ilvl w:val="0"/>
          <w:numId w:val="28"/>
        </w:numPr>
        <w:rPr/>
      </w:pPr>
      <w:r>
        <w:rPr/>
        <w:t>invoca:setCambioStatoPrescrizione</w:t>
      </w:r>
    </w:p>
    <w:p>
      <w:pPr>
        <w:pStyle w:val="Normal"/>
        <w:numPr>
          <w:ilvl w:val="0"/>
          <w:numId w:val="28"/>
        </w:numPr>
        <w:rPr/>
      </w:pPr>
      <w:r>
        <w:rPr/>
        <w:t>setCambioStatoPrescrizione – Il SIST accoglie la prenotazione prendendo in carico la prestazione specialistica</w:t>
      </w:r>
    </w:p>
    <w:p>
      <w:pPr>
        <w:pStyle w:val="Normal"/>
        <w:numPr>
          <w:ilvl w:val="0"/>
          <w:numId w:val="28"/>
        </w:numPr>
        <w:rPr/>
      </w:pPr>
      <w:r>
        <w:rPr/>
        <w:t>visualizza esito operazione</w:t>
      </w:r>
    </w:p>
    <w:p>
      <w:pPr>
        <w:pStyle w:val="Normal"/>
        <w:numPr>
          <w:ilvl w:val="0"/>
          <w:numId w:val="28"/>
        </w:numPr>
        <w:rPr/>
      </w:pPr>
      <w:r>
        <w:rPr/>
        <w:t>Fine</w:t>
      </w:r>
    </w:p>
    <w:p>
      <w:pPr>
        <w:pStyle w:val="Normal"/>
        <w:rPr>
          <w:b/>
        </w:rPr>
      </w:pPr>
      <w:r>
        <w:rPr>
          <w:b/>
        </w:rPr>
        <w:t>Prenotare Erogare specialistica –setCambioStatoPrescrizione risulta non disponibile</w:t>
      </w:r>
    </w:p>
    <w:p>
      <w:pPr>
        <w:pStyle w:val="Normal"/>
        <w:numPr>
          <w:ilvl w:val="0"/>
          <w:numId w:val="29"/>
        </w:numPr>
        <w:rPr/>
      </w:pPr>
      <w:r>
        <w:rPr/>
        <w:t>Inizio</w:t>
      </w:r>
    </w:p>
    <w:p>
      <w:pPr>
        <w:pStyle w:val="Normal"/>
        <w:numPr>
          <w:ilvl w:val="0"/>
          <w:numId w:val="29"/>
        </w:numPr>
        <w:rPr/>
      </w:pPr>
      <w:r>
        <w:rPr/>
        <w:t>richiesta di identificazione della prescrizione da erogare</w:t>
      </w:r>
    </w:p>
    <w:p>
      <w:pPr>
        <w:pStyle w:val="Normal"/>
        <w:numPr>
          <w:ilvl w:val="0"/>
          <w:numId w:val="29"/>
        </w:numPr>
        <w:rPr/>
      </w:pPr>
      <w:r>
        <w:rPr/>
        <w:t>invoca:getPrescrizioneIdentificata</w:t>
      </w:r>
    </w:p>
    <w:p>
      <w:pPr>
        <w:pStyle w:val="Normal"/>
        <w:numPr>
          <w:ilvl w:val="0"/>
          <w:numId w:val="29"/>
        </w:numPr>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29"/>
        </w:numPr>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numPr>
          <w:ilvl w:val="0"/>
          <w:numId w:val="29"/>
        </w:numPr>
        <w:rPr/>
      </w:pPr>
      <w:r>
        <w:rPr/>
        <w:t>invoca:setCambioStatoPrescrizione (timeout o servizio non disponibile)</w:t>
      </w:r>
    </w:p>
    <w:p>
      <w:pPr>
        <w:pStyle w:val="Normal"/>
        <w:numPr>
          <w:ilvl w:val="0"/>
          <w:numId w:val="29"/>
        </w:numPr>
        <w:rPr/>
      </w:pPr>
      <w:r>
        <w:rPr/>
        <w:t>L’applicativo CUP schedula la chiamata al servizio finchè non ottiene una risposta</w:t>
      </w:r>
    </w:p>
    <w:p>
      <w:pPr>
        <w:pStyle w:val="Normal"/>
        <w:numPr>
          <w:ilvl w:val="0"/>
          <w:numId w:val="29"/>
        </w:numPr>
        <w:rPr/>
      </w:pPr>
      <w:r>
        <w:rPr/>
        <w:t>Fine</w:t>
      </w:r>
    </w:p>
    <w:p>
      <w:pPr>
        <w:pStyle w:val="Normal"/>
        <w:rPr/>
      </w:pPr>
      <w:r>
        <w:rPr/>
      </w:r>
    </w:p>
    <w:p>
      <w:pPr>
        <w:sectPr>
          <w:headerReference w:type="even" r:id="rId48"/>
          <w:headerReference w:type="default" r:id="rId49"/>
          <w:headerReference w:type="first" r:id="rId50"/>
          <w:footerReference w:type="even" r:id="rId51"/>
          <w:footerReference w:type="default" r:id="rId52"/>
          <w:footerReference w:type="first" r:id="rId53"/>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6" w:name="_Toc173420547"/>
      <w:bookmarkStart w:id="157" w:name="_Toc438993537"/>
      <w:r>
        <w:rPr/>
        <w:t>Erogare prescrizione specialistica</w:t>
      </w:r>
      <w:bookmarkEnd w:id="156"/>
      <w:bookmarkEnd w:id="157"/>
    </w:p>
    <w:p>
      <w:pPr>
        <w:sectPr>
          <w:headerReference w:type="even" r:id="rId55"/>
          <w:headerReference w:type="default" r:id="rId56"/>
          <w:headerReference w:type="first" r:id="rId57"/>
          <w:footerReference w:type="even" r:id="rId58"/>
          <w:footerReference w:type="default" r:id="rId59"/>
          <w:footerReference w:type="first" r:id="rId60"/>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020050" cy="5219700"/>
            <wp:effectExtent l="0" t="0" r="0" b="0"/>
            <wp:docPr id="19" name="Immagin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descr=""/>
                    <pic:cNvPicPr>
                      <a:picLocks noChangeAspect="1" noChangeArrowheads="1"/>
                    </pic:cNvPicPr>
                  </pic:nvPicPr>
                  <pic:blipFill>
                    <a:blip r:embed="rId54"/>
                    <a:stretch>
                      <a:fillRect/>
                    </a:stretch>
                  </pic:blipFill>
                  <pic:spPr bwMode="auto">
                    <a:xfrm>
                      <a:off x="0" y="0"/>
                      <a:ext cx="8020050" cy="5219700"/>
                    </a:xfrm>
                    <a:prstGeom prst="rect">
                      <a:avLst/>
                    </a:prstGeom>
                    <a:noFill/>
                  </pic:spPr>
                </pic:pic>
              </a:graphicData>
            </a:graphic>
          </wp:inline>
        </w:drawing>
      </w:r>
    </w:p>
    <w:p>
      <w:pPr>
        <w:pStyle w:val="Normal"/>
        <w:rPr/>
      </w:pPr>
      <w:r>
        <w:rPr/>
      </w:r>
    </w:p>
    <w:p>
      <w:pPr>
        <w:pStyle w:val="Normal"/>
        <w:rPr>
          <w:b/>
        </w:rPr>
      </w:pPr>
      <w:r>
        <w:rPr>
          <w:b/>
        </w:rPr>
        <w:t>Erogare prescrizione specialistica su promemoria</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w:t>
      </w:r>
    </w:p>
    <w:p>
      <w:pPr>
        <w:pStyle w:val="Normal"/>
        <w:numPr>
          <w:ilvl w:val="0"/>
          <w:numId w:val="30"/>
        </w:numPr>
        <w:rPr/>
      </w:pP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Compilazione dei dati di erogazione</w:t>
      </w:r>
    </w:p>
    <w:p>
      <w:pPr>
        <w:pStyle w:val="Normal"/>
        <w:numPr>
          <w:ilvl w:val="0"/>
          <w:numId w:val="30"/>
        </w:numPr>
        <w:ind w:hanging="207" w:left="1418"/>
        <w:rPr/>
      </w:pPr>
      <w:r>
        <w:rPr/>
        <w:t>Crea CDA di erogazione con NRE+E+yyyyMMddHHmmssSSS – Per dettagli sulla generazione del CDA di erogazione a partire dal promemoria seguire quanto indicato nel documento CDA2_Erogazione.pdf</w:t>
      </w:r>
    </w:p>
    <w:p>
      <w:pPr>
        <w:pStyle w:val="Normal"/>
        <w:numPr>
          <w:ilvl w:val="0"/>
          <w:numId w:val="30"/>
        </w:numPr>
        <w:ind w:hanging="207" w:left="1418"/>
        <w:rPr/>
      </w:pPr>
      <w:r>
        <w:rPr/>
        <w:t>Firma CDA di erogazione</w:t>
      </w:r>
    </w:p>
    <w:p>
      <w:pPr>
        <w:pStyle w:val="Normal"/>
        <w:numPr>
          <w:ilvl w:val="0"/>
          <w:numId w:val="30"/>
        </w:numPr>
        <w:ind w:hanging="207" w:left="1418"/>
        <w:rPr/>
      </w:pPr>
      <w:r>
        <w:rPr/>
        <w:t>Invoca:setRegistraErogazioneSpec</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ind w:left="1571"/>
        <w:rPr/>
      </w:pPr>
      <w:r>
        <w:rPr/>
      </w:r>
    </w:p>
    <w:p>
      <w:pPr>
        <w:pStyle w:val="Normal"/>
        <w:rPr>
          <w:b/>
        </w:rPr>
      </w:pPr>
      <w:r>
        <w:rPr>
          <w:b/>
        </w:rPr>
        <w:t>Erogare prescrizione specialistica su ricetta rossa</w:t>
      </w:r>
    </w:p>
    <w:p>
      <w:pPr>
        <w:pStyle w:val="Normal"/>
        <w:numPr>
          <w:ilvl w:val="0"/>
          <w:numId w:val="31"/>
        </w:numPr>
        <w:rPr>
          <w:b/>
        </w:rPr>
      </w:pPr>
      <w:r>
        <w:rPr/>
        <w:t>Inizio</w:t>
      </w:r>
    </w:p>
    <w:p>
      <w:pPr>
        <w:pStyle w:val="Normal"/>
        <w:numPr>
          <w:ilvl w:val="0"/>
          <w:numId w:val="31"/>
        </w:numPr>
        <w:rPr/>
      </w:pPr>
      <w:r>
        <w:rPr/>
        <w:t>Richiesta di identificazione della prescrizione da erogare</w:t>
      </w:r>
    </w:p>
    <w:p>
      <w:pPr>
        <w:pStyle w:val="Normal"/>
        <w:numPr>
          <w:ilvl w:val="0"/>
          <w:numId w:val="31"/>
        </w:numPr>
        <w:rPr/>
      </w:pPr>
      <w:r>
        <w:rPr/>
        <w:t>invoca:getPrescrizioneIdentificata</w:t>
      </w:r>
    </w:p>
    <w:p>
      <w:pPr>
        <w:pStyle w:val="Normal"/>
        <w:numPr>
          <w:ilvl w:val="0"/>
          <w:numId w:val="31"/>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1"/>
        </w:numPr>
        <w:rPr/>
      </w:pPr>
      <w:r>
        <w:rPr/>
        <w:t>Compilazione dei dati di erogazione</w:t>
      </w:r>
    </w:p>
    <w:p>
      <w:pPr>
        <w:pStyle w:val="Normal"/>
        <w:numPr>
          <w:ilvl w:val="0"/>
          <w:numId w:val="31"/>
        </w:numPr>
        <w:ind w:hanging="207" w:left="1418"/>
        <w:rPr/>
      </w:pPr>
      <w:r>
        <w:rPr/>
        <w:t>crea CDA di erogazione con IUP/NRE+E+ yyyyMMddHHmmssSSS e poligrafico di stato -Per dettagli sulla generazione del CDA di erogazione a partire dal promemoria seguire quanto indicato nel documento CDA2_Erogazione.pdf</w:t>
      </w:r>
    </w:p>
    <w:p>
      <w:pPr>
        <w:pStyle w:val="Normal"/>
        <w:numPr>
          <w:ilvl w:val="0"/>
          <w:numId w:val="31"/>
        </w:numPr>
        <w:rPr/>
      </w:pPr>
      <w:r>
        <w:rPr/>
        <w:t>Firma CDA di erogazione</w:t>
      </w:r>
    </w:p>
    <w:p>
      <w:pPr>
        <w:pStyle w:val="Normal"/>
        <w:numPr>
          <w:ilvl w:val="0"/>
          <w:numId w:val="31"/>
        </w:numPr>
        <w:rPr/>
      </w:pPr>
      <w:r>
        <w:rPr/>
        <w:t>Invoca:setRegistraErogazioneSpec</w:t>
      </w:r>
    </w:p>
    <w:p>
      <w:pPr>
        <w:pStyle w:val="Normal"/>
        <w:numPr>
          <w:ilvl w:val="0"/>
          <w:numId w:val="31"/>
        </w:numPr>
        <w:rPr/>
      </w:pPr>
      <w:r>
        <w:rPr/>
        <w:t>Visualizza esito positivo dell’operazione o l’elenco delle anomalie restituito dal SIST</w:t>
      </w:r>
    </w:p>
    <w:p>
      <w:pPr>
        <w:pStyle w:val="Normal"/>
        <w:numPr>
          <w:ilvl w:val="0"/>
          <w:numId w:val="31"/>
        </w:numPr>
        <w:rPr/>
      </w:pPr>
      <w:r>
        <w:rPr/>
        <w:t>Fine</w:t>
      </w:r>
    </w:p>
    <w:p>
      <w:pPr>
        <w:pStyle w:val="Normal"/>
        <w:ind w:left="1571"/>
        <w:rPr/>
      </w:pPr>
      <w:r>
        <w:rPr/>
      </w:r>
    </w:p>
    <w:p>
      <w:pPr>
        <w:pStyle w:val="Normal"/>
        <w:ind w:left="1571"/>
        <w:rPr/>
      </w:pPr>
      <w:r>
        <w:rPr/>
      </w:r>
    </w:p>
    <w:p>
      <w:pPr>
        <w:pStyle w:val="Normal"/>
        <w:ind w:left="1571"/>
        <w:rPr/>
      </w:pPr>
      <w:r>
        <w:rPr/>
      </w:r>
    </w:p>
    <w:p>
      <w:pPr>
        <w:pStyle w:val="Normal"/>
        <w:rPr>
          <w:b/>
        </w:rPr>
      </w:pPr>
      <w:r>
        <w:rPr>
          <w:b/>
        </w:rPr>
        <w:t>Erogare prescrizione specialistica non a carico del SSN</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w:t>
      </w:r>
    </w:p>
    <w:p>
      <w:pPr>
        <w:pStyle w:val="Normal"/>
        <w:numPr>
          <w:ilvl w:val="0"/>
          <w:numId w:val="30"/>
        </w:numPr>
        <w:ind w:hanging="207" w:left="1418"/>
        <w:rPr/>
      </w:pPr>
      <w:r>
        <w:rP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Specialistica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setCambioStatoPrescrizione con codStatoPrescrizione=1</w:t>
      </w:r>
    </w:p>
    <w:p>
      <w:pPr>
        <w:pStyle w:val="Normal"/>
        <w:numPr>
          <w:ilvl w:val="0"/>
          <w:numId w:val="33"/>
        </w:numPr>
        <w:rPr/>
      </w:pPr>
      <w:r>
        <w:rPr/>
        <w:t xml:space="preserve">setCambioStatoPrescrizione – Il SIST procede all’annullamento della prenotazione negli archivi SIST e SAC.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lang w:val="it-IT"/>
        </w:rPr>
      </w:pPr>
      <w:r>
        <w:rPr>
          <w:lang w:val="it-IT"/>
        </w:rPr>
      </w:r>
      <w:r>
        <w:br w:type="page"/>
      </w:r>
    </w:p>
    <w:p>
      <w:pPr>
        <w:sectPr>
          <w:headerReference w:type="even" r:id="rId61"/>
          <w:headerReference w:type="default" r:id="rId62"/>
          <w:headerReference w:type="first" r:id="rId63"/>
          <w:footerReference w:type="even" r:id="rId64"/>
          <w:footerReference w:type="default" r:id="rId65"/>
          <w:footerReference w:type="first" r:id="rId66"/>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Normal"/>
        <w:numPr>
          <w:ilvl w:val="0"/>
          <w:numId w:val="1"/>
        </w:numPr>
        <w:spacing w:before="0" w:after="0"/>
        <w:rPr/>
      </w:pPr>
      <w:bookmarkStart w:id="158" w:name="_Toc173420548"/>
      <w:bookmarkStart w:id="159" w:name="_Toc438993538"/>
      <w:r>
        <w:rPr/>
        <w:t>Erogare prescrizione specialistica – Modalità differita</w:t>
      </w:r>
      <w:bookmarkEnd w:id="158"/>
      <w:bookmarkEnd w:id="159"/>
    </w:p>
    <w:p>
      <w:pPr>
        <w:sectPr>
          <w:headerReference w:type="even" r:id="rId68"/>
          <w:headerReference w:type="default" r:id="rId69"/>
          <w:headerReference w:type="first" r:id="rId70"/>
          <w:footerReference w:type="even" r:id="rId71"/>
          <w:footerReference w:type="default" r:id="rId72"/>
          <w:footerReference w:type="first" r:id="rId73"/>
          <w:footnotePr>
            <w:numFmt w:val="decimal"/>
          </w:footnotePr>
          <w:type w:val="nextPage"/>
          <w:pgSz w:orient="landscape" w:w="16838" w:h="11906"/>
          <w:pgMar w:left="1701" w:right="1701" w:gutter="567" w:header="720" w:top="1134" w:footer="1418" w:bottom="1843"/>
          <w:pgNumType w:fmt="decimal"/>
          <w:formProt w:val="false"/>
          <w:titlePg/>
          <w:textDirection w:val="lrTb"/>
          <w:docGrid w:type="default" w:linePitch="100" w:charSpace="8192"/>
        </w:sectPr>
        <w:pStyle w:val="Normal"/>
        <w:rPr/>
      </w:pPr>
      <w:r>
        <w:rPr/>
        <w:drawing>
          <wp:inline distT="0" distB="0" distL="0" distR="0">
            <wp:extent cx="7905750" cy="5162550"/>
            <wp:effectExtent l="0" t="0" r="0" b="0"/>
            <wp:docPr id="20"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descr=""/>
                    <pic:cNvPicPr>
                      <a:picLocks noChangeAspect="1" noChangeArrowheads="1"/>
                    </pic:cNvPicPr>
                  </pic:nvPicPr>
                  <pic:blipFill>
                    <a:blip r:embed="rId67"/>
                    <a:stretch>
                      <a:fillRect/>
                    </a:stretch>
                  </pic:blipFill>
                  <pic:spPr bwMode="auto">
                    <a:xfrm>
                      <a:off x="0" y="0"/>
                      <a:ext cx="7905750" cy="5162550"/>
                    </a:xfrm>
                    <a:prstGeom prst="rect">
                      <a:avLst/>
                    </a:prstGeom>
                    <a:noFill/>
                  </pic:spPr>
                </pic:pic>
              </a:graphicData>
            </a:graphic>
          </wp:inline>
        </w:drawing>
      </w:r>
    </w:p>
    <w:p>
      <w:pPr>
        <w:pStyle w:val="Normal"/>
        <w:jc w:val="both"/>
        <w:rPr/>
      </w:pPr>
      <w:r>
        <w:rPr>
          <w:b/>
        </w:rPr>
        <w:t xml:space="preserve">Erogare prescrizione– modalità differita– I servizi SIST getPrescrizioneIdentificata, setCambioStato o setRegistraErogazioneSpec non sono raggiungibili </w:t>
      </w:r>
    </w:p>
    <w:p>
      <w:pPr>
        <w:pStyle w:val="Normal"/>
        <w:numPr>
          <w:ilvl w:val="0"/>
          <w:numId w:val="51"/>
        </w:numPr>
        <w:rPr/>
      </w:pPr>
      <w:r>
        <w:rPr/>
        <w:t>Inizio</w:t>
      </w:r>
    </w:p>
    <w:p>
      <w:pPr>
        <w:pStyle w:val="Normal"/>
        <w:numPr>
          <w:ilvl w:val="0"/>
          <w:numId w:val="51"/>
        </w:numPr>
        <w:rPr/>
      </w:pPr>
      <w:r>
        <w:rPr/>
        <w:t xml:space="preserve">Il client è impossibilitato a sottomettere la richiesta al SIST o nella fase di presa in carico della ricetta o nella fase di prenotazione o durante l’invio dell’erogazione </w:t>
      </w:r>
    </w:p>
    <w:p>
      <w:pPr>
        <w:pStyle w:val="Normal"/>
        <w:numPr>
          <w:ilvl w:val="0"/>
          <w:numId w:val="51"/>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51"/>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51"/>
        </w:numPr>
        <w:rPr/>
      </w:pPr>
      <w:r>
        <w:rPr/>
        <w:t>Fine.</w:t>
      </w:r>
    </w:p>
    <w:p>
      <w:pPr>
        <w:pStyle w:val="Normal"/>
        <w:rPr/>
      </w:pPr>
      <w:r>
        <w:rPr/>
      </w:r>
    </w:p>
    <w:p>
      <w:pPr>
        <w:pStyle w:val="Normal"/>
        <w:jc w:val="both"/>
        <w:rPr/>
      </w:pPr>
      <w:r>
        <w:rPr>
          <w:b/>
        </w:rPr>
        <w:t xml:space="preserve">Erogare prescrizione– modalità differita– I servizi SIST di erogazione risultano nuovamente raggiungibili </w:t>
      </w:r>
    </w:p>
    <w:p>
      <w:pPr>
        <w:pStyle w:val="Normal"/>
        <w:numPr>
          <w:ilvl w:val="0"/>
          <w:numId w:val="52"/>
        </w:numPr>
        <w:rPr/>
      </w:pPr>
      <w:r>
        <w:rPr/>
        <w:t>Inizio</w:t>
      </w:r>
    </w:p>
    <w:p>
      <w:pPr>
        <w:pStyle w:val="Normal"/>
        <w:numPr>
          <w:ilvl w:val="0"/>
          <w:numId w:val="52"/>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2"/>
        </w:numPr>
        <w:rPr/>
      </w:pPr>
      <w:r>
        <w:rPr/>
        <w:t>Identificazione della ricetta attraverso il servizio getPrescrizioneIdentificata</w:t>
      </w:r>
      <w:r>
        <w:rPr>
          <w:rStyle w:val="FootnoteReference"/>
        </w:rPr>
        <w:footnoteReference w:id="7"/>
      </w:r>
      <w:r>
        <w:rPr/>
        <w:t>.</w:t>
      </w:r>
    </w:p>
    <w:p>
      <w:pPr>
        <w:pStyle w:val="Normal"/>
        <w:numPr>
          <w:ilvl w:val="1"/>
          <w:numId w:val="52"/>
        </w:numPr>
        <w:rPr/>
      </w:pPr>
      <w:r>
        <w:rPr/>
        <w:t>Invocazione del servizio setRegistraErogazioneSpec in modalità differita. La modalità di erogazione differita viene attivata tramite il servizio setRegistraErogazioneSpec impostando le seguenti informazioni aggiuntive:</w:t>
      </w:r>
    </w:p>
    <w:p>
      <w:pPr>
        <w:pStyle w:val="Normal"/>
        <w:numPr>
          <w:ilvl w:val="2"/>
          <w:numId w:val="52"/>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2"/>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2"/>
        </w:numPr>
        <w:rPr/>
      </w:pPr>
      <w:r>
        <w:rPr/>
        <w:t>Fine.</w:t>
      </w:r>
    </w:p>
    <w:p>
      <w:pPr>
        <w:pStyle w:val="Normal"/>
        <w:rPr/>
      </w:pPr>
      <w:r>
        <w:rPr/>
      </w:r>
    </w:p>
    <w:p>
      <w:pPr>
        <w:pStyle w:val="Normal"/>
        <w:rPr/>
      </w:pPr>
      <w:r>
        <w:rPr/>
      </w:r>
    </w:p>
    <w:p>
      <w:pPr>
        <w:pStyle w:val="Heading3"/>
        <w:rPr/>
      </w:pPr>
      <w:bookmarkStart w:id="160" w:name="_Toc173420549"/>
      <w:bookmarkStart w:id="161" w:name="_Toc438993539"/>
      <w:r>
        <w:rPr/>
        <w:t>Annullare erogazione specialistica</w:t>
      </w:r>
      <w:bookmarkEnd w:id="160"/>
      <w:bookmarkEnd w:id="161"/>
    </w:p>
    <w:p>
      <w:pPr>
        <w:pStyle w:val="Normal"/>
        <w:rPr/>
      </w:pPr>
      <w:r>
        <w:rPr/>
        <w:drawing>
          <wp:inline distT="0" distB="0" distL="0" distR="0">
            <wp:extent cx="5305425" cy="5619750"/>
            <wp:effectExtent l="0" t="0" r="0" b="0"/>
            <wp:docPr id="21"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descr=""/>
                    <pic:cNvPicPr>
                      <a:picLocks noChangeAspect="1" noChangeArrowheads="1"/>
                    </pic:cNvPicPr>
                  </pic:nvPicPr>
                  <pic:blipFill>
                    <a:blip r:embed="rId74"/>
                    <a:stretch>
                      <a:fillRect/>
                    </a:stretch>
                  </pic:blipFill>
                  <pic:spPr bwMode="auto">
                    <a:xfrm>
                      <a:off x="0" y="0"/>
                      <a:ext cx="5305425" cy="5619750"/>
                    </a:xfrm>
                    <a:prstGeom prst="rect">
                      <a:avLst/>
                    </a:prstGeom>
                    <a:noFill/>
                  </pic:spPr>
                </pic:pic>
              </a:graphicData>
            </a:graphic>
          </wp:inline>
        </w:drawing>
      </w:r>
    </w:p>
    <w:p>
      <w:pPr>
        <w:pStyle w:val="Normal"/>
        <w:rPr>
          <w:b/>
        </w:rPr>
      </w:pPr>
      <w:r>
        <w:rPr>
          <w:b/>
        </w:rPr>
        <w:t>Annullare Erogazione Specialistica – SIST disponibile</w:t>
      </w:r>
    </w:p>
    <w:p>
      <w:pPr>
        <w:pStyle w:val="Normal"/>
        <w:numPr>
          <w:ilvl w:val="0"/>
          <w:numId w:val="33"/>
        </w:numPr>
        <w:rPr/>
      </w:pPr>
      <w:r>
        <w:rPr/>
        <w:t>Inizio</w:t>
      </w:r>
    </w:p>
    <w:p>
      <w:pPr>
        <w:pStyle w:val="Normal"/>
        <w:numPr>
          <w:ilvl w:val="0"/>
          <w:numId w:val="33"/>
        </w:numPr>
        <w:rPr/>
      </w:pPr>
      <w:r>
        <w:rPr/>
        <w:t>Richiesta annullamento erogazione</w:t>
      </w:r>
    </w:p>
    <w:p>
      <w:pPr>
        <w:pStyle w:val="Normal"/>
        <w:numPr>
          <w:ilvl w:val="0"/>
          <w:numId w:val="33"/>
        </w:numPr>
        <w:rPr/>
      </w:pPr>
      <w:r>
        <w:rPr/>
        <w:t>invoca:setAnnullaErogazioneSpec</w:t>
      </w:r>
    </w:p>
    <w:p>
      <w:pPr>
        <w:pStyle w:val="Normal"/>
        <w:numPr>
          <w:ilvl w:val="0"/>
          <w:numId w:val="33"/>
        </w:numPr>
        <w:rPr/>
      </w:pPr>
      <w:r>
        <w:rPr/>
        <w:t>setAnnullaErogazioneSpec – Il SIST procede all’annullamento dell’erogazione negli archivi SIST e SAC</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440"/>
        <w:rPr/>
      </w:pPr>
      <w:r>
        <w:rPr/>
      </w:r>
    </w:p>
    <w:p>
      <w:pPr>
        <w:pStyle w:val="Normal"/>
        <w:rPr>
          <w:b/>
        </w:rPr>
      </w:pPr>
      <w:r>
        <w:rPr>
          <w:b/>
        </w:rPr>
        <w:t>Annullare erogazione Specialistica – setAnnullaErogazioneSpec risulta non disponibile</w:t>
      </w:r>
    </w:p>
    <w:p>
      <w:pPr>
        <w:pStyle w:val="Normal"/>
        <w:numPr>
          <w:ilvl w:val="0"/>
          <w:numId w:val="32"/>
        </w:numPr>
        <w:rPr/>
      </w:pPr>
      <w:r>
        <w:rPr/>
        <w:t>Inizio</w:t>
      </w:r>
    </w:p>
    <w:p>
      <w:pPr>
        <w:pStyle w:val="Normal"/>
        <w:numPr>
          <w:ilvl w:val="0"/>
          <w:numId w:val="32"/>
        </w:numPr>
        <w:rPr/>
      </w:pPr>
      <w:r>
        <w:rPr/>
        <w:t>Richiesta annullamento erogazione</w:t>
      </w:r>
    </w:p>
    <w:p>
      <w:pPr>
        <w:pStyle w:val="Normal"/>
        <w:numPr>
          <w:ilvl w:val="0"/>
          <w:numId w:val="32"/>
        </w:numPr>
        <w:rPr/>
      </w:pPr>
      <w:r>
        <w:rPr/>
        <w:t>invoca:setAnnullaErogazioneSpec (timeout o servizio non disponibile)</w:t>
      </w:r>
    </w:p>
    <w:p>
      <w:pPr>
        <w:pStyle w:val="Normal"/>
        <w:numPr>
          <w:ilvl w:val="0"/>
          <w:numId w:val="32"/>
        </w:numPr>
        <w:rPr/>
      </w:pPr>
      <w:r>
        <w:rPr/>
        <w:t>L’applicativo CUP schedula la chiamata al servizio finché non ottiene una risposta</w:t>
      </w:r>
    </w:p>
    <w:p>
      <w:pPr>
        <w:pStyle w:val="Normal"/>
        <w:numPr>
          <w:ilvl w:val="0"/>
          <w:numId w:val="32"/>
        </w:numPr>
        <w:rPr/>
      </w:pPr>
      <w:r>
        <w:rPr/>
        <w:t>Fine</w:t>
      </w:r>
    </w:p>
    <w:p>
      <w:pPr>
        <w:pStyle w:val="Normal"/>
        <w:rPr/>
      </w:pPr>
      <w:r>
        <w:rPr/>
      </w:r>
    </w:p>
    <w:p>
      <w:pPr>
        <w:pStyle w:val="Heading3"/>
        <w:rPr/>
      </w:pPr>
      <w:bookmarkStart w:id="162" w:name="_Toc173420550"/>
      <w:bookmarkStart w:id="163" w:name="_Toc438993540"/>
      <w:r>
        <w:rPr/>
        <w:t>Annullare prenotazione</w:t>
      </w:r>
      <w:bookmarkEnd w:id="162"/>
      <w:bookmarkEnd w:id="163"/>
    </w:p>
    <w:p>
      <w:pPr>
        <w:pStyle w:val="Normal"/>
        <w:rPr/>
      </w:pPr>
      <w:r>
        <w:rPr/>
        <w:drawing>
          <wp:inline distT="0" distB="0" distL="0" distR="0">
            <wp:extent cx="5314950" cy="5076825"/>
            <wp:effectExtent l="0" t="0" r="0" b="0"/>
            <wp:docPr id="22"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descr=""/>
                    <pic:cNvPicPr>
                      <a:picLocks noChangeAspect="1" noChangeArrowheads="1"/>
                    </pic:cNvPicPr>
                  </pic:nvPicPr>
                  <pic:blipFill>
                    <a:blip r:embed="rId75"/>
                    <a:stretch>
                      <a:fillRect/>
                    </a:stretch>
                  </pic:blipFill>
                  <pic:spPr bwMode="auto">
                    <a:xfrm>
                      <a:off x="0" y="0"/>
                      <a:ext cx="5314950" cy="5076825"/>
                    </a:xfrm>
                    <a:prstGeom prst="rect">
                      <a:avLst/>
                    </a:prstGeom>
                    <a:noFill/>
                  </pic:spPr>
                </pic:pic>
              </a:graphicData>
            </a:graphic>
          </wp:inline>
        </w:drawing>
      </w:r>
    </w:p>
    <w:p>
      <w:pPr>
        <w:pStyle w:val="Normal"/>
        <w:rPr>
          <w:b/>
        </w:rPr>
      </w:pPr>
      <w:r>
        <w:rPr>
          <w:b/>
        </w:rPr>
        <w:t>Annullare Prenotazione Specialistica – SIST disponibile</w:t>
      </w:r>
    </w:p>
    <w:p>
      <w:pPr>
        <w:pStyle w:val="Normal"/>
        <w:numPr>
          <w:ilvl w:val="0"/>
          <w:numId w:val="44"/>
        </w:numPr>
        <w:rPr/>
      </w:pPr>
      <w:r>
        <w:rPr/>
        <w:t>Inizio</w:t>
      </w:r>
    </w:p>
    <w:p>
      <w:pPr>
        <w:pStyle w:val="Normal"/>
        <w:numPr>
          <w:ilvl w:val="0"/>
          <w:numId w:val="44"/>
        </w:numPr>
        <w:rPr/>
      </w:pPr>
      <w:r>
        <w:rPr/>
        <w:t>Richiesta annullamento prenotazione</w:t>
      </w:r>
    </w:p>
    <w:p>
      <w:pPr>
        <w:pStyle w:val="Normal"/>
        <w:numPr>
          <w:ilvl w:val="0"/>
          <w:numId w:val="44"/>
        </w:numPr>
        <w:rPr/>
      </w:pPr>
      <w:r>
        <w:rPr/>
        <w:t>invoca: setCambioStatoPrescrizione con tipoOperazione=1</w:t>
      </w:r>
    </w:p>
    <w:p>
      <w:pPr>
        <w:pStyle w:val="Normal"/>
        <w:numPr>
          <w:ilvl w:val="0"/>
          <w:numId w:val="44"/>
        </w:numPr>
        <w:rPr/>
      </w:pPr>
      <w:r>
        <w:rPr/>
        <w:t>setCambioStatoPrescrizione – Il SIST procede all’annullamento della prenotazione negli archivi SIST e SAC. Per rilasciare la presa in carico prima di aver comunicato il codice della struttura erogatrice avvalorare con 000000</w:t>
      </w:r>
    </w:p>
    <w:p>
      <w:pPr>
        <w:pStyle w:val="Normal"/>
        <w:numPr>
          <w:ilvl w:val="0"/>
          <w:numId w:val="44"/>
        </w:numPr>
        <w:rPr/>
      </w:pPr>
      <w:r>
        <w:rPr/>
        <w:t>Visualizza l’esito positivo dell’operazione o l’elenco delle anomalie riscontrate</w:t>
      </w:r>
    </w:p>
    <w:p>
      <w:pPr>
        <w:pStyle w:val="Normal"/>
        <w:numPr>
          <w:ilvl w:val="0"/>
          <w:numId w:val="44"/>
        </w:numPr>
        <w:rPr/>
      </w:pPr>
      <w:r>
        <w:rPr/>
        <w:t>Fine</w:t>
      </w:r>
    </w:p>
    <w:p>
      <w:pPr>
        <w:pStyle w:val="Normal"/>
        <w:ind w:left="1440"/>
        <w:rPr/>
      </w:pPr>
      <w:r>
        <w:rPr/>
      </w:r>
    </w:p>
    <w:p>
      <w:pPr>
        <w:pStyle w:val="Normal"/>
        <w:rPr>
          <w:b/>
        </w:rPr>
      </w:pPr>
      <w:r>
        <w:rPr>
          <w:b/>
        </w:rPr>
        <w:t>Annullare Prenotazione Specialistica – setCambioStatoPrescrizione risulta non disponibile</w:t>
      </w:r>
    </w:p>
    <w:p>
      <w:pPr>
        <w:pStyle w:val="Normal"/>
        <w:numPr>
          <w:ilvl w:val="0"/>
          <w:numId w:val="45"/>
        </w:numPr>
        <w:rPr/>
      </w:pPr>
      <w:r>
        <w:rPr/>
        <w:t>Inizio</w:t>
      </w:r>
    </w:p>
    <w:p>
      <w:pPr>
        <w:pStyle w:val="Normal"/>
        <w:numPr>
          <w:ilvl w:val="0"/>
          <w:numId w:val="45"/>
        </w:numPr>
        <w:rPr/>
      </w:pPr>
      <w:r>
        <w:rPr/>
        <w:t>Richiesta annullamento prenotazione</w:t>
      </w:r>
    </w:p>
    <w:p>
      <w:pPr>
        <w:pStyle w:val="Normal"/>
        <w:numPr>
          <w:ilvl w:val="0"/>
          <w:numId w:val="45"/>
        </w:numPr>
        <w:rPr/>
      </w:pPr>
      <w:r>
        <w:rPr/>
        <w:t>invoca:setCambioStatoPrescrizione con tipo Operazione=1 (timeout o servizio non disponibile)</w:t>
      </w:r>
    </w:p>
    <w:p>
      <w:pPr>
        <w:pStyle w:val="Normal"/>
        <w:numPr>
          <w:ilvl w:val="0"/>
          <w:numId w:val="45"/>
        </w:numPr>
        <w:rPr/>
      </w:pPr>
      <w:r>
        <w:rPr/>
        <w:t>L’applicativo CUP schedula la chiamata al servizio finché non ottiene una risposta</w:t>
      </w:r>
    </w:p>
    <w:p>
      <w:pPr>
        <w:pStyle w:val="Normal"/>
        <w:numPr>
          <w:ilvl w:val="0"/>
          <w:numId w:val="45"/>
        </w:numPr>
        <w:rPr/>
      </w:pPr>
      <w:r>
        <w:rPr/>
        <w:t>Fine</w:t>
      </w:r>
    </w:p>
    <w:p>
      <w:pPr>
        <w:pStyle w:val="Normal"/>
        <w:rPr/>
      </w:pPr>
      <w:r>
        <w:rPr/>
      </w:r>
    </w:p>
    <w:p>
      <w:pPr>
        <w:pStyle w:val="Heading3"/>
        <w:rPr/>
      </w:pPr>
      <w:bookmarkStart w:id="164" w:name="_Toc173420551"/>
      <w:bookmarkStart w:id="165" w:name="_Toc438993541"/>
      <w:r>
        <w:rPr/>
        <w:t>Identificare prescrizione specialistica</w:t>
      </w:r>
      <w:bookmarkEnd w:id="164"/>
      <w:bookmarkEnd w:id="165"/>
    </w:p>
    <w:p>
      <w:pPr>
        <w:pStyle w:val="Normal"/>
        <w:rPr/>
      </w:pPr>
      <w:r>
        <w:rPr/>
        <w:drawing>
          <wp:inline distT="0" distB="0" distL="0" distR="0">
            <wp:extent cx="5305425" cy="5534025"/>
            <wp:effectExtent l="0" t="0" r="0" b="0"/>
            <wp:docPr id="23"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descr=""/>
                    <pic:cNvPicPr>
                      <a:picLocks noChangeAspect="1" noChangeArrowheads="1"/>
                    </pic:cNvPicPr>
                  </pic:nvPicPr>
                  <pic:blipFill>
                    <a:blip r:embed="rId76"/>
                    <a:stretch>
                      <a:fillRect/>
                    </a:stretch>
                  </pic:blipFill>
                  <pic:spPr bwMode="auto">
                    <a:xfrm>
                      <a:off x="0" y="0"/>
                      <a:ext cx="5305425" cy="5534025"/>
                    </a:xfrm>
                    <a:prstGeom prst="rect">
                      <a:avLst/>
                    </a:prstGeom>
                    <a:noFill/>
                  </pic:spPr>
                </pic:pic>
              </a:graphicData>
            </a:graphic>
          </wp:inline>
        </w:drawing>
      </w:r>
    </w:p>
    <w:p>
      <w:pPr>
        <w:pStyle w:val="Normal"/>
        <w:numPr>
          <w:ilvl w:val="0"/>
          <w:numId w:val="34"/>
        </w:numPr>
        <w:rPr/>
      </w:pPr>
      <w:r>
        <w:rPr/>
        <w:t>Inizio</w:t>
      </w:r>
    </w:p>
    <w:p>
      <w:pPr>
        <w:pStyle w:val="Normal"/>
        <w:numPr>
          <w:ilvl w:val="0"/>
          <w:numId w:val="34"/>
        </w:numPr>
        <w:rPr/>
      </w:pPr>
      <w:r>
        <w:rPr/>
        <w:t>Richiesta identificazione prescrizione</w:t>
      </w:r>
    </w:p>
    <w:p>
      <w:pPr>
        <w:pStyle w:val="Normal"/>
        <w:numPr>
          <w:ilvl w:val="0"/>
          <w:numId w:val="34"/>
        </w:numPr>
        <w:rPr/>
      </w:pPr>
      <w:r>
        <w:rPr/>
        <w:t>invoca:getPrescrizioneIdentificata</w:t>
      </w:r>
    </w:p>
    <w:p>
      <w:pPr>
        <w:pStyle w:val="Normal"/>
        <w:numPr>
          <w:ilvl w:val="0"/>
          <w:numId w:val="34"/>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34"/>
        </w:numPr>
        <w:rPr/>
      </w:pPr>
      <w:r>
        <w:rPr/>
        <w:t>Fine</w:t>
      </w:r>
    </w:p>
    <w:p>
      <w:pPr>
        <w:pStyle w:val="Normal"/>
        <w:rPr/>
      </w:pPr>
      <w:r>
        <w:rPr/>
      </w:r>
    </w:p>
    <w:p>
      <w:pPr>
        <w:pStyle w:val="Heading3"/>
        <w:rPr>
          <w:lang w:val="it-IT"/>
        </w:rPr>
      </w:pPr>
      <w:bookmarkStart w:id="166" w:name="_Toc173420552"/>
      <w:bookmarkStart w:id="167" w:name="_Toc438993542"/>
      <w:r>
        <w:rPr>
          <w:lang w:val="it-IT"/>
        </w:rPr>
        <w:t>Visualizzare dati oscurati di prescrizione specialistica</w:t>
      </w:r>
      <w:bookmarkEnd w:id="166"/>
      <w:bookmarkEnd w:id="167"/>
    </w:p>
    <w:p>
      <w:pPr>
        <w:pStyle w:val="Normal"/>
        <w:rPr/>
      </w:pPr>
      <w:r>
        <w:rPr/>
        <w:drawing>
          <wp:inline distT="0" distB="0" distL="0" distR="0">
            <wp:extent cx="5276850" cy="4105275"/>
            <wp:effectExtent l="0" t="0" r="0" b="0"/>
            <wp:docPr id="24" name="Immagin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descr=""/>
                    <pic:cNvPicPr>
                      <a:picLocks noChangeAspect="1" noChangeArrowheads="1"/>
                    </pic:cNvPicPr>
                  </pic:nvPicPr>
                  <pic:blipFill>
                    <a:blip r:embed="rId77"/>
                    <a:stretch>
                      <a:fillRect/>
                    </a:stretch>
                  </pic:blipFill>
                  <pic:spPr bwMode="auto">
                    <a:xfrm>
                      <a:off x="0" y="0"/>
                      <a:ext cx="5276850" cy="4105275"/>
                    </a:xfrm>
                    <a:prstGeom prst="rect">
                      <a:avLst/>
                    </a:prstGeom>
                    <a:noFill/>
                  </pic:spPr>
                </pic:pic>
              </a:graphicData>
            </a:graphic>
          </wp:inline>
        </w:drawing>
      </w:r>
    </w:p>
    <w:p>
      <w:pPr>
        <w:pStyle w:val="Normal"/>
        <w:numPr>
          <w:ilvl w:val="0"/>
          <w:numId w:val="46"/>
        </w:numPr>
        <w:rPr/>
      </w:pPr>
      <w:r>
        <w:rPr/>
        <w:t>Inizio</w:t>
      </w:r>
    </w:p>
    <w:p>
      <w:pPr>
        <w:pStyle w:val="Normal"/>
        <w:numPr>
          <w:ilvl w:val="0"/>
          <w:numId w:val="46"/>
        </w:numPr>
        <w:rPr/>
      </w:pPr>
      <w:r>
        <w:rPr/>
        <w:t>Richiesta identificazione prescrizione</w:t>
      </w:r>
    </w:p>
    <w:p>
      <w:pPr>
        <w:pStyle w:val="Normal"/>
        <w:numPr>
          <w:ilvl w:val="0"/>
          <w:numId w:val="46"/>
        </w:numPr>
        <w:rPr/>
      </w:pPr>
      <w:r>
        <w:rPr/>
        <w:t>invoca:getPrescrizioneIdentificata</w:t>
      </w:r>
    </w:p>
    <w:p>
      <w:pPr>
        <w:pStyle w:val="Normal"/>
        <w:numPr>
          <w:ilvl w:val="0"/>
          <w:numId w:val="46"/>
        </w:numPr>
        <w:rPr/>
      </w:pPr>
      <w:r>
        <w:rPr/>
        <w:t xml:space="preserve">Il SIST procede all’identificazione della prescrizione. Il sistema in caso di identificazione restituisce o il CDA di prescrizione altrimenti i dati atomici. </w:t>
      </w:r>
    </w:p>
    <w:p>
      <w:pPr>
        <w:pStyle w:val="Normal"/>
        <w:numPr>
          <w:ilvl w:val="0"/>
          <w:numId w:val="46"/>
        </w:numPr>
        <w:rPr/>
      </w:pPr>
      <w:r>
        <w:rPr/>
        <w:t>Se l’erogatore intende visualizzare i dati oscurati sulla ricetta deve richiamare il servizio getPrescrizioneIdentificata avvalorando il tag tipoOperazione=4</w:t>
      </w:r>
    </w:p>
    <w:p>
      <w:pPr>
        <w:pStyle w:val="Normal"/>
        <w:numPr>
          <w:ilvl w:val="0"/>
          <w:numId w:val="46"/>
        </w:numPr>
        <w:rPr/>
      </w:pPr>
      <w:r>
        <w:rPr/>
        <w:t>Il SIST procede alla restituzione dei dati in chiaro dell’assistito nell’apposita struttura dati.</w:t>
      </w:r>
    </w:p>
    <w:p>
      <w:pPr>
        <w:pStyle w:val="Normal"/>
        <w:numPr>
          <w:ilvl w:val="0"/>
          <w:numId w:val="46"/>
        </w:numPr>
        <w:rPr/>
      </w:pPr>
      <w:r>
        <w:rPr/>
        <w:t>Fine</w:t>
      </w:r>
    </w:p>
    <w:p>
      <w:pPr>
        <w:pStyle w:val="Heading3"/>
        <w:rPr/>
      </w:pPr>
      <w:bookmarkStart w:id="168" w:name="_Toc173420553"/>
      <w:bookmarkStart w:id="169" w:name="_Toc438993543"/>
      <w:r>
        <w:rPr/>
        <w:t>Ricercare erogazioni specialistiche</w:t>
      </w:r>
      <w:bookmarkEnd w:id="168"/>
      <w:bookmarkEnd w:id="169"/>
    </w:p>
    <w:p>
      <w:pPr>
        <w:pStyle w:val="Normal"/>
        <w:rPr/>
      </w:pPr>
      <w:r>
        <w:rPr/>
      </w:r>
    </w:p>
    <w:p>
      <w:pPr>
        <w:pStyle w:val="Normal"/>
        <w:rPr/>
      </w:pPr>
      <w:r>
        <w:rPr/>
        <w:drawing>
          <wp:inline distT="0" distB="0" distL="0" distR="0">
            <wp:extent cx="5305425" cy="5534025"/>
            <wp:effectExtent l="0" t="0" r="0" b="0"/>
            <wp:docPr id="25"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descr=""/>
                    <pic:cNvPicPr>
                      <a:picLocks noChangeAspect="1" noChangeArrowheads="1"/>
                    </pic:cNvPicPr>
                  </pic:nvPicPr>
                  <pic:blipFill>
                    <a:blip r:embed="rId78"/>
                    <a:stretch>
                      <a:fillRect/>
                    </a:stretch>
                  </pic:blipFill>
                  <pic:spPr bwMode="auto">
                    <a:xfrm>
                      <a:off x="0" y="0"/>
                      <a:ext cx="5305425" cy="5534025"/>
                    </a:xfrm>
                    <a:prstGeom prst="rect">
                      <a:avLst/>
                    </a:prstGeom>
                    <a:noFill/>
                  </pic:spPr>
                </pic:pic>
              </a:graphicData>
            </a:graphic>
          </wp:inline>
        </w:drawing>
      </w:r>
    </w:p>
    <w:p>
      <w:pPr>
        <w:pStyle w:val="Normal"/>
        <w:rPr/>
      </w:pPr>
      <w:r>
        <w:rPr/>
      </w:r>
    </w:p>
    <w:p>
      <w:pPr>
        <w:pStyle w:val="Normal"/>
        <w:numPr>
          <w:ilvl w:val="0"/>
          <w:numId w:val="35"/>
        </w:numPr>
        <w:ind w:hanging="207" w:left="1418"/>
        <w:rPr/>
      </w:pPr>
      <w:r>
        <w:rPr/>
        <w:t>Inizio</w:t>
      </w:r>
    </w:p>
    <w:p>
      <w:pPr>
        <w:pStyle w:val="Normal"/>
        <w:numPr>
          <w:ilvl w:val="0"/>
          <w:numId w:val="35"/>
        </w:numPr>
        <w:ind w:hanging="207" w:left="1418"/>
        <w:rPr/>
      </w:pPr>
      <w:r>
        <w:rPr/>
        <w:t>Richiesta ricerca erogazioni specialistiche</w:t>
      </w:r>
    </w:p>
    <w:p>
      <w:pPr>
        <w:pStyle w:val="Normal"/>
        <w:numPr>
          <w:ilvl w:val="0"/>
          <w:numId w:val="35"/>
        </w:numPr>
        <w:ind w:hanging="207" w:left="1418"/>
        <w:rPr/>
      </w:pPr>
      <w:r>
        <w:rPr/>
        <w:t>invoca:getErogazioniRegistrateSpec</w:t>
      </w:r>
    </w:p>
    <w:p>
      <w:pPr>
        <w:pStyle w:val="Normal"/>
        <w:numPr>
          <w:ilvl w:val="0"/>
          <w:numId w:val="35"/>
        </w:numPr>
        <w:ind w:hanging="207" w:left="1418"/>
        <w:rPr/>
      </w:pPr>
      <w:r>
        <w:rPr/>
        <w:t>Il SIST procede alla ricerca delle erogazioni specialistiche. Il sistema restituisce soltanto dei dati parziali dell’erogazione o una lista vuota nel caso in cui nessuna erogazione soddisfa i criteri di ricerca inseriti</w:t>
      </w:r>
    </w:p>
    <w:p>
      <w:pPr>
        <w:pStyle w:val="Normal"/>
        <w:numPr>
          <w:ilvl w:val="0"/>
          <w:numId w:val="35"/>
        </w:numPr>
        <w:ind w:hanging="207" w:left="1418"/>
        <w:rPr/>
      </w:pPr>
      <w:r>
        <w:rPr/>
        <w:t>Fine</w:t>
      </w:r>
    </w:p>
    <w:p>
      <w:pPr>
        <w:pStyle w:val="Normal"/>
        <w:keepLines w:val="false"/>
        <w:spacing w:lineRule="auto" w:line="240" w:before="0" w:after="0"/>
        <w:ind w:left="0"/>
        <w:rPr>
          <w:rFonts w:ascii="Arial" w:hAnsi="Arial"/>
          <w:b/>
          <w:sz w:val="28"/>
        </w:rPr>
      </w:pPr>
      <w:r>
        <w:rPr>
          <w:rFonts w:ascii="Arial" w:hAnsi="Arial"/>
          <w:b/>
          <w:sz w:val="28"/>
        </w:rPr>
      </w:r>
      <w:bookmarkStart w:id="170" w:name="_Ref408912792"/>
      <w:bookmarkStart w:id="171" w:name="_Ref408912757"/>
      <w:bookmarkStart w:id="172" w:name="_Ref408912792"/>
      <w:bookmarkStart w:id="173" w:name="_Ref408912757"/>
    </w:p>
    <w:p>
      <w:pPr>
        <w:pStyle w:val="Normal"/>
        <w:keepLines w:val="false"/>
        <w:spacing w:lineRule="auto" w:line="240" w:before="0" w:after="0"/>
        <w:ind w:left="0"/>
        <w:rPr>
          <w:rFonts w:ascii="Arial" w:hAnsi="Arial"/>
          <w:b/>
          <w:sz w:val="28"/>
        </w:rPr>
      </w:pPr>
      <w:r>
        <w:rPr>
          <w:rFonts w:ascii="Arial" w:hAnsi="Arial"/>
          <w:b/>
          <w:sz w:val="28"/>
        </w:rPr>
      </w:r>
    </w:p>
    <w:p>
      <w:pPr>
        <w:pStyle w:val="Normal"/>
        <w:keepLines w:val="false"/>
        <w:spacing w:lineRule="auto" w:line="240" w:before="0" w:after="0"/>
        <w:ind w:left="0"/>
        <w:rPr>
          <w:rFonts w:ascii="Arial" w:hAnsi="Arial"/>
          <w:b/>
          <w:sz w:val="28"/>
        </w:rPr>
      </w:pPr>
      <w:r>
        <w:rPr>
          <w:rFonts w:ascii="Arial" w:hAnsi="Arial"/>
          <w:b/>
          <w:sz w:val="28"/>
        </w:rPr>
      </w:r>
    </w:p>
    <w:p>
      <w:pPr>
        <w:pStyle w:val="Heading1"/>
        <w:rPr/>
      </w:pPr>
      <w:bookmarkStart w:id="174" w:name="_Toc173420554"/>
      <w:bookmarkStart w:id="175" w:name="_Toc438993544"/>
      <w:r>
        <w:rPr/>
        <w:t xml:space="preserve">Appendice </w:t>
      </w:r>
      <w:r>
        <w:rPr>
          <w:lang w:val="it-IT"/>
        </w:rPr>
        <w:t>B</w:t>
      </w:r>
      <w:r>
        <w:rPr/>
        <w:t xml:space="preserve"> – Scenari di integrazione FSE</w:t>
      </w:r>
      <w:bookmarkEnd w:id="174"/>
      <w:bookmarkEnd w:id="175"/>
    </w:p>
    <w:p>
      <w:pPr>
        <w:pStyle w:val="Normal"/>
        <w:jc w:val="both"/>
        <w:rPr/>
      </w:pPr>
      <w:r>
        <w:rPr/>
        <w:t>Di seguito si dettagliano gli scenari di integrazione con l’FSE per applicativo che deve integrarsi e tipologia di documento.</w:t>
      </w:r>
    </w:p>
    <w:p>
      <w:pPr>
        <w:pStyle w:val="Normal"/>
        <w:rPr/>
      </w:pPr>
      <w:r>
        <w:rPr/>
        <w:t>Applicativi che devono integrarsi al Fascicolo Sanitario</w:t>
        <w:br/>
      </w:r>
    </w:p>
    <w:p>
      <w:pPr>
        <w:pStyle w:val="ListParagraph"/>
        <w:numPr>
          <w:ilvl w:val="1"/>
          <w:numId w:val="65"/>
        </w:numPr>
        <w:rPr/>
      </w:pPr>
      <w:r>
        <w:rPr>
          <w:rFonts w:ascii="Times New Roman" w:hAnsi="Times New Roman"/>
          <w:sz w:val="20"/>
          <w:szCs w:val="20"/>
        </w:rPr>
        <w:t>Gestionali di Cartella Clinica MMG/PLS</w:t>
      </w:r>
    </w:p>
    <w:p>
      <w:pPr>
        <w:pStyle w:val="ListParagraph"/>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pPr>
        <w:pStyle w:val="ListParagraph"/>
        <w:numPr>
          <w:ilvl w:val="1"/>
          <w:numId w:val="65"/>
        </w:numPr>
        <w:rPr/>
      </w:pPr>
      <w:r>
        <w:rPr>
          <w:rFonts w:ascii="Times New Roman" w:hAnsi="Times New Roman"/>
          <w:sz w:val="20"/>
          <w:szCs w:val="20"/>
        </w:rPr>
        <w:t>Portale della Salute</w:t>
      </w:r>
    </w:p>
    <w:p>
      <w:pPr>
        <w:pStyle w:val="ListParagraph"/>
        <w:numPr>
          <w:ilvl w:val="1"/>
          <w:numId w:val="65"/>
        </w:numPr>
        <w:rPr>
          <w:rFonts w:ascii="Times New Roman" w:hAnsi="Times New Roman"/>
          <w:sz w:val="20"/>
          <w:szCs w:val="20"/>
        </w:rPr>
      </w:pPr>
      <w:r>
        <w:rPr>
          <w:rFonts w:ascii="Times New Roman" w:hAnsi="Times New Roman"/>
          <w:sz w:val="20"/>
          <w:szCs w:val="20"/>
        </w:rPr>
        <w:t>Edotto</w:t>
      </w:r>
    </w:p>
    <w:p>
      <w:pPr>
        <w:pStyle w:val="Normal"/>
        <w:jc w:val="both"/>
        <w:rPr/>
      </w:pPr>
      <w:r>
        <w:rPr/>
        <w:t>Nella tabella seguente sono riportati, per ogni applicativo, i servizi della componente FSE da richiamare e gli scenari (riportati di seguito in questo capitolo). Nelle celle è riportato lo scenario di riferimento.</w:t>
      </w:r>
    </w:p>
    <w:p>
      <w:pPr>
        <w:pStyle w:val="Normal"/>
        <w:ind w:left="-284"/>
        <w:rPr/>
      </w:pPr>
      <w:r>
        <w:rPr/>
      </w:r>
    </w:p>
    <w:p>
      <w:pPr>
        <w:pStyle w:val="Normal"/>
        <w:ind w:left="-284"/>
        <w:rPr/>
      </w:pPr>
      <w:r>
        <w:rPr/>
      </w:r>
    </w:p>
    <w:tbl>
      <w:tblPr>
        <w:tblW w:w="10231" w:type="dxa"/>
        <w:jc w:val="left"/>
        <w:tblInd w:w="-284" w:type="dxa"/>
        <w:tblLayout w:type="fixed"/>
        <w:tblCellMar>
          <w:top w:w="0" w:type="dxa"/>
          <w:left w:w="108" w:type="dxa"/>
          <w:bottom w:w="0" w:type="dxa"/>
          <w:right w:w="108" w:type="dxa"/>
        </w:tblCellMar>
        <w:tblLook w:firstRow="1" w:noVBand="1" w:lastRow="0" w:firstColumn="1" w:lastColumn="0" w:noHBand="0" w:val="04a0"/>
      </w:tblPr>
      <w:tblGrid>
        <w:gridCol w:w="2236"/>
        <w:gridCol w:w="543"/>
        <w:gridCol w:w="545"/>
        <w:gridCol w:w="544"/>
        <w:gridCol w:w="541"/>
        <w:gridCol w:w="448"/>
        <w:gridCol w:w="448"/>
        <w:gridCol w:w="448"/>
        <w:gridCol w:w="450"/>
        <w:gridCol w:w="449"/>
        <w:gridCol w:w="448"/>
        <w:gridCol w:w="448"/>
        <w:gridCol w:w="448"/>
        <w:gridCol w:w="446"/>
        <w:gridCol w:w="448"/>
        <w:gridCol w:w="448"/>
        <w:gridCol w:w="448"/>
        <w:gridCol w:w="442"/>
      </w:tblGrid>
      <w:tr>
        <w:trPr/>
        <w:tc>
          <w:tcPr>
            <w:tcW w:w="2236" w:type="dxa"/>
            <w:vMerge w:val="restart"/>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b/>
                <w:sz w:val="18"/>
              </w:rPr>
            </w:pPr>
            <w:r>
              <mc:AlternateContent>
                <mc:Choice Requires="wps">
                  <w:drawing>
                    <wp:anchor behindDoc="0" distT="635" distB="1270" distL="1270" distR="635" simplePos="0" locked="0" layoutInCell="1" allowOverlap="1" relativeHeight="48">
                      <wp:simplePos x="0" y="0"/>
                      <wp:positionH relativeFrom="column">
                        <wp:posOffset>-28575</wp:posOffset>
                      </wp:positionH>
                      <wp:positionV relativeFrom="paragraph">
                        <wp:posOffset>50800</wp:posOffset>
                      </wp:positionV>
                      <wp:extent cx="1561465" cy="1535430"/>
                      <wp:effectExtent l="1270" t="635" r="635" b="1270"/>
                      <wp:wrapNone/>
                      <wp:docPr id="26" name="AutoShape 2"/>
                      <a:graphic xmlns:a="http://schemas.openxmlformats.org/drawingml/2006/main">
                        <a:graphicData uri="http://schemas.microsoft.com/office/word/2010/wordprocessingShape">
                          <wps:wsp>
                            <wps:cNvSpPr/>
                            <wps:spPr>
                              <a:xfrm>
                                <a:off x="0" y="0"/>
                                <a:ext cx="1561320" cy="153540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AutoShape 2" path="m0,0l-2147483648,-2147483647e" stroked="t" o:allowincell="t" style="position:absolute;margin-left:-2.25pt;margin-top:4pt;width:122.9pt;height:120.85pt;mso-wrap-style:none;v-text-anchor:middle" type="_x0000_t32">
                      <v:fill o:detectmouseclick="t" on="false"/>
                      <v:stroke color="black" joinstyle="round" endcap="flat"/>
                      <w10:wrap type="none"/>
                    </v:shape>
                  </w:pict>
                </mc:Fallback>
              </mc:AlternateContent>
            </w:r>
            <w:r>
              <w:rPr>
                <w:b/>
                <w:sz w:val="18"/>
              </w:rPr>
              <w:t>Servizi</w:t>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b/>
                <w:sz w:val="18"/>
              </w:rPr>
            </w:pPr>
            <w:r>
              <w:rPr>
                <w:b/>
                <w:sz w:val="18"/>
              </w:rPr>
              <w:t>Gestione del Consenso</w:t>
            </w:r>
          </w:p>
        </w:tc>
      </w:tr>
      <w:tr>
        <w:trPr>
          <w:trHeight w:val="2427" w:hRule="atLeast"/>
          <w:cantSplit w:val="true"/>
        </w:trPr>
        <w:tc>
          <w:tcPr>
            <w:tcW w:w="2236" w:type="dxa"/>
            <w:vMerge w:val="continue"/>
            <w:tcBorders>
              <w:top w:val="single" w:sz="4" w:space="0" w:color="000000"/>
              <w:left w:val="single" w:sz="4" w:space="0" w:color="000000"/>
              <w:bottom w:val="single" w:sz="4" w:space="0" w:color="000000"/>
              <w:right w:val="single" w:sz="4" w:space="0" w:color="000000"/>
            </w:tcBorders>
            <w:shd w:color="auto" w:fill="auto" w:val="clear"/>
          </w:tcPr>
          <w:p>
            <w:pPr>
              <w:pStyle w:val="NoSpacing"/>
              <w:rPr>
                <w:b/>
                <w:sz w:val="18"/>
              </w:rPr>
            </w:pPr>
            <w:r>
              <w:rPr>
                <w:b/>
                <w:sz w:val="18"/>
              </w:rPr>
            </w:r>
          </w:p>
        </w:tc>
        <w:tc>
          <w:tcPr>
            <w:tcW w:w="543"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addDocument</w:t>
            </w:r>
          </w:p>
        </w:tc>
        <w:tc>
          <w:tcPr>
            <w:tcW w:w="545"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queryDocument</w:t>
            </w:r>
          </w:p>
        </w:tc>
        <w:tc>
          <w:tcPr>
            <w:tcW w:w="541"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getWritingAgreement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setReadingAgreement</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getAccessPoicy</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getAccessLog</w:t>
            </w:r>
          </w:p>
        </w:tc>
        <w:tc>
          <w:tcPr>
            <w:tcW w:w="446"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setPreviousAgreement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getPreviousAgreement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setDisclosure</w:t>
            </w:r>
          </w:p>
        </w:tc>
        <w:tc>
          <w:tcPr>
            <w:tcW w:w="442"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getAgreements</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2"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45"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bl>
    <w:p>
      <w:pPr>
        <w:pStyle w:val="Normal"/>
        <w:ind w:left="-284"/>
        <w:rPr/>
      </w:pPr>
      <w:r>
        <w:rPr/>
      </w:r>
    </w:p>
    <w:p>
      <w:pPr>
        <w:pStyle w:val="Normal"/>
        <w:jc w:val="both"/>
        <w:rPr/>
      </w:pPr>
      <w:r>
        <w:rPr/>
        <w:t>La tabella seguente riporta i documenti inseriti o modificati per ogni applicativo e gli scenari di riferimento (riportati di seguito in questo capitolo). Nelle celle è riportato lo scenario di riferimento.</w:t>
      </w:r>
    </w:p>
    <w:p>
      <w:pPr>
        <w:pStyle w:val="Normal"/>
        <w:ind w:left="-284"/>
        <w:jc w:val="center"/>
        <w:rPr/>
      </w:pPr>
      <w:r>
        <w:rPr/>
        <w:drawing>
          <wp:inline distT="0" distB="0" distL="0" distR="0">
            <wp:extent cx="4229100" cy="1733550"/>
            <wp:effectExtent l="0" t="0" r="0" b="0"/>
            <wp:docPr id="27"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descr=""/>
                    <pic:cNvPicPr>
                      <a:picLocks noChangeAspect="1" noChangeArrowheads="1"/>
                    </pic:cNvPicPr>
                  </pic:nvPicPr>
                  <pic:blipFill>
                    <a:blip r:embed="rId79"/>
                    <a:stretch>
                      <a:fillRect/>
                    </a:stretch>
                  </pic:blipFill>
                  <pic:spPr bwMode="auto">
                    <a:xfrm>
                      <a:off x="0" y="0"/>
                      <a:ext cx="4229100" cy="1733550"/>
                    </a:xfrm>
                    <a:prstGeom prst="rect">
                      <a:avLst/>
                    </a:prstGeom>
                    <a:noFill/>
                  </pic:spPr>
                </pic:pic>
              </a:graphicData>
            </a:graphic>
          </wp:inline>
        </w:drawing>
      </w:r>
    </w:p>
    <w:p>
      <w:pPr>
        <w:pStyle w:val="Normal"/>
        <w:rPr/>
      </w:pPr>
      <w:r>
        <w:rPr/>
      </w:r>
    </w:p>
    <w:p>
      <w:pPr>
        <w:pStyle w:val="Normal"/>
        <w:rPr/>
      </w:pPr>
      <w:r>
        <w:rPr/>
      </w:r>
    </w:p>
    <w:p>
      <w:pPr>
        <w:pStyle w:val="Heading2"/>
        <w:rPr/>
      </w:pPr>
      <w:bookmarkStart w:id="176" w:name="_Toc173420555"/>
      <w:bookmarkStart w:id="177" w:name="_Toc438993545"/>
      <w:bookmarkStart w:id="178" w:name="_Toc408843914"/>
      <w:r>
        <w:rPr>
          <w:lang w:val="it-IT"/>
        </w:rPr>
        <w:t>Scenario 1 –Gestione Patient Summary o EDS</w:t>
      </w:r>
      <w:bookmarkEnd w:id="176"/>
      <w:bookmarkEnd w:id="177"/>
      <w:bookmarkEnd w:id="178"/>
    </w:p>
    <w:p>
      <w:pPr>
        <w:pStyle w:val="Normal"/>
        <w:spacing w:before="120" w:after="120"/>
        <w:rPr/>
      </w:pPr>
      <w:r>
        <w:rPr>
          <w:i/>
        </w:rPr>
        <w:t>Attori coinvolti</w:t>
      </w:r>
      <w:r>
        <w:rPr/>
        <w:t>: Medico di Medicina Generale, Pediatra di Libera Scelta</w:t>
      </w:r>
    </w:p>
    <w:p>
      <w:pPr>
        <w:pStyle w:val="Normal"/>
        <w:spacing w:before="120" w:after="120"/>
        <w:rPr/>
      </w:pPr>
      <w:r>
        <w:rPr>
          <w:i/>
        </w:rPr>
        <w:t>Applicazioni coinvolte</w:t>
      </w:r>
      <w:r>
        <w:rPr/>
        <w:t>: Cartelle cliniche MMG/PLS</w:t>
      </w:r>
    </w:p>
    <w:p>
      <w:pPr>
        <w:pStyle w:val="Normal"/>
        <w:spacing w:before="120" w:after="120"/>
        <w:rPr/>
      </w:pPr>
      <w:r>
        <w:rPr>
          <w:i/>
        </w:rPr>
        <w:t>Servizi FSE coinvolti</w:t>
      </w:r>
      <w:r>
        <w:rPr/>
        <w:t>: addDocument, updateDocument, queryDocument, retrieveDocument</w:t>
      </w:r>
    </w:p>
    <w:p>
      <w:pPr>
        <w:pStyle w:val="Heading3"/>
        <w:rPr>
          <w:lang w:val="it-IT"/>
        </w:rPr>
      </w:pPr>
      <w:bookmarkStart w:id="179" w:name="_Toc173420556"/>
      <w:bookmarkStart w:id="180" w:name="_Toc438993546"/>
      <w:bookmarkStart w:id="181" w:name="_Ref409084815"/>
      <w:bookmarkStart w:id="182" w:name="_Ref409084806"/>
      <w:bookmarkStart w:id="183" w:name="_Toc408843915"/>
      <w:r>
        <w:rPr>
          <w:lang w:val="it-IT"/>
        </w:rPr>
        <w:t>Inizializzazione PS o EDS</w:t>
      </w:r>
      <w:bookmarkEnd w:id="180"/>
      <w:bookmarkEnd w:id="181"/>
      <w:bookmarkEnd w:id="182"/>
      <w:bookmarkEnd w:id="183"/>
      <w:r>
        <w:rPr>
          <w:lang w:val="it-IT"/>
        </w:rPr>
        <w:t xml:space="preserve"> nella cartella clinica</w:t>
      </w:r>
      <w:bookmarkEnd w:id="179"/>
    </w:p>
    <w:p>
      <w:pPr>
        <w:pStyle w:val="Normal"/>
        <w:jc w:val="both"/>
        <w:rPr/>
      </w:pPr>
      <w:r>
        <w:rP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pPr>
        <w:pStyle w:val="Normal"/>
        <w:jc w:val="both"/>
        <w:rPr/>
      </w:pPr>
      <w:r>
        <w:rP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pPr>
        <w:pStyle w:val="Normal"/>
        <w:jc w:val="both"/>
        <w:rPr/>
      </w:pPr>
      <w:r>
        <w:rPr/>
        <w:t>Tale scenario è esplicitato nel diagramma seguente.</w:t>
      </w:r>
    </w:p>
    <w:p>
      <w:pPr>
        <w:pStyle w:val="Normal"/>
        <w:ind w:left="-284"/>
        <w:rPr/>
      </w:pPr>
      <w:r>
        <w:rPr/>
        <w:drawing>
          <wp:inline distT="0" distB="0" distL="0" distR="0">
            <wp:extent cx="5314950" cy="2895600"/>
            <wp:effectExtent l="0" t="0" r="0" b="0"/>
            <wp:docPr id="28"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descr=""/>
                    <pic:cNvPicPr>
                      <a:picLocks noChangeAspect="1" noChangeArrowheads="1"/>
                    </pic:cNvPicPr>
                  </pic:nvPicPr>
                  <pic:blipFill>
                    <a:blip r:embed="rId80"/>
                    <a:stretch>
                      <a:fillRect/>
                    </a:stretch>
                  </pic:blipFill>
                  <pic:spPr bwMode="auto">
                    <a:xfrm>
                      <a:off x="0" y="0"/>
                      <a:ext cx="5314950" cy="2895600"/>
                    </a:xfrm>
                    <a:prstGeom prst="rect">
                      <a:avLst/>
                    </a:prstGeom>
                    <a:noFill/>
                  </pic:spPr>
                </pic:pic>
              </a:graphicData>
            </a:graphic>
          </wp:inline>
        </w:drawing>
      </w:r>
    </w:p>
    <w:p>
      <w:pPr>
        <w:pStyle w:val="Normal"/>
        <w:rPr>
          <w:b/>
        </w:rPr>
      </w:pPr>
      <w:r>
        <w:rPr>
          <w:b/>
        </w:rPr>
      </w:r>
    </w:p>
    <w:p>
      <w:pPr>
        <w:pStyle w:val="Normal"/>
        <w:rPr>
          <w:b/>
          <w:bCs/>
        </w:rPr>
      </w:pPr>
      <w:r>
        <w:rPr>
          <w:b/>
          <w:bCs/>
        </w:rPr>
        <w:t>Inizializzazione Patient Summary (o EDS) nella cartella clinica</w:t>
      </w:r>
    </w:p>
    <w:p>
      <w:pPr>
        <w:pStyle w:val="Normal"/>
        <w:ind w:left="0"/>
        <w:rPr/>
      </w:pPr>
      <w:r>
        <w:rPr/>
      </w:r>
    </w:p>
    <w:p>
      <w:pPr>
        <w:pStyle w:val="Normal"/>
        <w:numPr>
          <w:ilvl w:val="0"/>
          <w:numId w:val="66"/>
        </w:numPr>
        <w:ind w:hanging="349" w:left="1560"/>
        <w:rPr/>
      </w:pPr>
      <w:r>
        <w:rPr/>
        <w:t>Inizio</w:t>
      </w:r>
    </w:p>
    <w:p>
      <w:pPr>
        <w:pStyle w:val="Normal"/>
        <w:numPr>
          <w:ilvl w:val="0"/>
          <w:numId w:val="66"/>
        </w:numPr>
        <w:ind w:hanging="349" w:left="1560"/>
        <w:rPr/>
      </w:pPr>
      <w:r>
        <w:rPr/>
        <w:t xml:space="preserve">Richiesta documento pre-esistente: invoca queryDocument  con tipoDocumento = 60591-5 (per Patient Summary) o tipoDocumento = 34878-9 (per EDS)  </w:t>
      </w:r>
    </w:p>
    <w:p>
      <w:pPr>
        <w:pStyle w:val="Normal"/>
        <w:numPr>
          <w:ilvl w:val="0"/>
          <w:numId w:val="66"/>
        </w:numPr>
        <w:ind w:hanging="349" w:left="1560"/>
        <w:rPr/>
      </w:pPr>
      <w:r>
        <w:rPr/>
        <w:t>il sistema ricerca un eventuale Patient Summary (o EDS) già registrato per l’assistito. Il sistema restituisce eventuali eccezioni (anche nel caso in cui il documento non è presente) oppure il riferimento al documento</w:t>
      </w:r>
    </w:p>
    <w:p>
      <w:pPr>
        <w:pStyle w:val="Normal"/>
        <w:numPr>
          <w:ilvl w:val="0"/>
          <w:numId w:val="66"/>
        </w:numPr>
        <w:ind w:hanging="349" w:left="1560"/>
        <w:rPr/>
      </w:pPr>
      <w:r>
        <w:rPr/>
        <w:t>l’applicativo cartella clinica riporta all’utente eventuali eccezioni o mantiene il documentURI del documento presente nella response del servizio di queryDocument, utile per successive elaborazioni</w:t>
      </w:r>
    </w:p>
    <w:p>
      <w:pPr>
        <w:pStyle w:val="Normal"/>
        <w:numPr>
          <w:ilvl w:val="0"/>
          <w:numId w:val="66"/>
        </w:numPr>
        <w:ind w:hanging="349" w:left="1560"/>
        <w:rPr/>
      </w:pPr>
      <w:r>
        <w:rPr/>
        <w:t xml:space="preserve">l’applicativo di cartella clinica invoca la retrieveDocument </w:t>
      </w:r>
    </w:p>
    <w:p>
      <w:pPr>
        <w:pStyle w:val="Normal"/>
        <w:numPr>
          <w:ilvl w:val="0"/>
          <w:numId w:val="66"/>
        </w:numPr>
        <w:ind w:hanging="349" w:left="1560"/>
        <w:rPr/>
      </w:pPr>
      <w:r>
        <w:rPr/>
        <w:t>il SIST recupera dal Repository il CDA e lo restituisce</w:t>
      </w:r>
    </w:p>
    <w:p>
      <w:pPr>
        <w:pStyle w:val="Normal"/>
        <w:numPr>
          <w:ilvl w:val="0"/>
          <w:numId w:val="66"/>
        </w:numPr>
        <w:ind w:hanging="349" w:left="1560"/>
        <w:rPr/>
      </w:pPr>
      <w:r>
        <w:rPr/>
        <w:t>l’applicativo visualizza il CDA e, a seguito di una conferma da parte dell’utente, inizializza i corrispondenti campi della Scheda Sanitaria Individuale della cartella clinica, acquisendo le informazioni dal CDA</w:t>
      </w:r>
    </w:p>
    <w:p>
      <w:pPr>
        <w:pStyle w:val="Normal"/>
        <w:numPr>
          <w:ilvl w:val="0"/>
          <w:numId w:val="66"/>
        </w:numPr>
        <w:ind w:hanging="349" w:left="1560"/>
        <w:rPr/>
      </w:pPr>
      <w:r>
        <w:rPr/>
        <w:t>Fine</w:t>
      </w:r>
    </w:p>
    <w:p>
      <w:pPr>
        <w:pStyle w:val="Normal"/>
        <w:rPr/>
      </w:pPr>
      <w:r>
        <w:rPr/>
      </w:r>
    </w:p>
    <w:p>
      <w:pPr>
        <w:pStyle w:val="Heading3"/>
        <w:rPr>
          <w:lang w:val="it-IT"/>
        </w:rPr>
      </w:pPr>
      <w:bookmarkStart w:id="184" w:name="_Toc173420557"/>
      <w:r>
        <w:rPr>
          <w:lang w:val="it-IT"/>
        </w:rPr>
        <w:t>Alimentazione</w:t>
      </w:r>
      <w:bookmarkStart w:id="185" w:name="_Toc438993547"/>
      <w:bookmarkStart w:id="186" w:name="_Toc408843916"/>
      <w:r>
        <w:rPr>
          <w:lang w:val="it-IT"/>
        </w:rPr>
        <w:t xml:space="preserve"> PS o EDS</w:t>
      </w:r>
      <w:bookmarkEnd w:id="185"/>
      <w:bookmarkEnd w:id="186"/>
      <w:r>
        <w:rPr>
          <w:lang w:val="it-IT"/>
        </w:rPr>
        <w:t xml:space="preserve"> nel FSE</w:t>
      </w:r>
      <w:bookmarkEnd w:id="184"/>
    </w:p>
    <w:p>
      <w:pPr>
        <w:pStyle w:val="Normal"/>
        <w:jc w:val="both"/>
        <w:rPr/>
      </w:pPr>
      <w:r>
        <w:rPr/>
        <w:t>L’alimentazione del PS o dell’EDS consente al MMG e PLS di caricare nel FSE il Patient Summary oppure l’Emergency Data Set a partire dalle informazioni presenti all’interno della Scheda Sanitaria dell’assistito, memorizzate nella propria cartella clinica.</w:t>
      </w:r>
    </w:p>
    <w:p>
      <w:pPr>
        <w:pStyle w:val="Normal"/>
        <w:jc w:val="both"/>
        <w:rPr/>
      </w:pPr>
      <w:r>
        <w:rPr/>
        <w:t>Nel caso in cui si tratti di un nuovo inserimento, il MMG/PLS registra la volontà dell’assistito di oscurare il documento e se lo stesso è soggetto a maggior tutela di anonimato.</w:t>
      </w:r>
    </w:p>
    <w:p>
      <w:pPr>
        <w:pStyle w:val="Normal"/>
        <w:jc w:val="both"/>
        <w:rPr/>
      </w:pPr>
      <w:r>
        <w:rPr/>
        <w:t>Nel caso in cui si tratti di aggiornamento di un documento esistente, il MMG/PLS imposta sul nuovo documento le policy già associate al documento nel FSE.</w:t>
      </w:r>
    </w:p>
    <w:p>
      <w:pPr>
        <w:pStyle w:val="Normal"/>
        <w:rPr/>
      </w:pPr>
      <w:r>
        <w:rPr/>
      </w:r>
    </w:p>
    <w:p>
      <w:pPr>
        <w:pStyle w:val="Normal"/>
        <w:ind w:left="0"/>
        <w:rPr/>
      </w:pPr>
      <w:r>
        <w:rPr/>
        <w:drawing>
          <wp:inline distT="0" distB="0" distL="0" distR="0">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1"/>
                    <a:stretch>
                      <a:fillRect/>
                    </a:stretch>
                  </pic:blipFill>
                  <pic:spPr bwMode="auto">
                    <a:xfrm>
                      <a:off x="0" y="0"/>
                      <a:ext cx="5314950" cy="5657850"/>
                    </a:xfrm>
                    <a:prstGeom prst="rect">
                      <a:avLst/>
                    </a:prstGeom>
                    <a:noFill/>
                  </pic:spPr>
                </pic:pic>
              </a:graphicData>
            </a:graphic>
          </wp:inline>
        </w:drawing>
      </w:r>
    </w:p>
    <w:p>
      <w:pPr>
        <w:pStyle w:val="CommentText"/>
        <w:rPr/>
      </w:pPr>
      <w:r>
        <w:rPr/>
      </w:r>
    </w:p>
    <w:p>
      <w:pPr>
        <w:pStyle w:val="Normal"/>
        <w:rPr/>
      </w:pPr>
      <w:r>
        <w:rPr/>
      </w:r>
    </w:p>
    <w:p>
      <w:pPr>
        <w:pStyle w:val="Normal"/>
        <w:rPr/>
      </w:pPr>
      <w:r>
        <w:rPr>
          <w:b/>
        </w:rPr>
        <w:t>Alimentazione Patient Summary (o EDS)</w:t>
      </w:r>
    </w:p>
    <w:p>
      <w:pPr>
        <w:pStyle w:val="Normal"/>
        <w:numPr>
          <w:ilvl w:val="0"/>
          <w:numId w:val="67"/>
        </w:numPr>
        <w:rPr/>
      </w:pPr>
      <w:r>
        <w:rPr/>
        <w:t>Inizio</w:t>
      </w:r>
    </w:p>
    <w:p>
      <w:pPr>
        <w:pStyle w:val="Normal"/>
        <w:numPr>
          <w:ilvl w:val="0"/>
          <w:numId w:val="67"/>
        </w:numPr>
        <w:rPr/>
      </w:pPr>
      <w:r>
        <w:rPr/>
        <w:t xml:space="preserve">la cartella clinica per verificare se il documento è già presente nel FSE recupera, al proprio interno, il documentURI oppure invoca il servizio queryDocument </w:t>
      </w:r>
    </w:p>
    <w:p>
      <w:pPr>
        <w:pStyle w:val="Normal"/>
        <w:numPr>
          <w:ilvl w:val="0"/>
          <w:numId w:val="67"/>
        </w:numPr>
        <w:ind w:hanging="360" w:left="1560"/>
        <w:rPr/>
      </w:pPr>
      <w:r>
        <w:rPr/>
        <w:t xml:space="preserve">se il PS non è presente nel FSE invoca addDocument con document.status = Approved </w:t>
      </w:r>
      <w:r>
        <w:rPr>
          <w:rStyle w:val="FootnoteReference"/>
        </w:rPr>
        <w:footnoteReference w:id="8"/>
      </w:r>
      <w:r>
        <w:rPr/>
        <w:t>, registrando la volontà dell’assistito di oscurare il documento e se lo stesso è soggetto a maggior tutela di anonimato, se espressa, secondo le finalità del FSE</w:t>
      </w:r>
    </w:p>
    <w:p>
      <w:pPr>
        <w:pStyle w:val="Normal"/>
        <w:numPr>
          <w:ilvl w:val="0"/>
          <w:numId w:val="67"/>
        </w:numPr>
        <w:ind w:hanging="360" w:left="1560"/>
        <w:rPr/>
      </w:pPr>
      <w:r>
        <w:rPr/>
        <w:t>Se il PS è già presente nel FSE</w:t>
      </w:r>
      <w:bookmarkStart w:id="187" w:name="OLE_LINK11"/>
      <w:bookmarkStart w:id="188" w:name="OLE_LINK10"/>
      <w:bookmarkStart w:id="189" w:name="OLE_LINK9"/>
      <w:r>
        <w:rPr/>
        <w:t>:</w:t>
      </w:r>
    </w:p>
    <w:p>
      <w:pPr>
        <w:pStyle w:val="Normal"/>
        <w:numPr>
          <w:ilvl w:val="1"/>
          <w:numId w:val="67"/>
        </w:numPr>
        <w:rPr/>
      </w:pPr>
      <w:r>
        <w:rPr/>
        <w:t>preleva lo stato attuale dei consensi puntuali del documento precedentemente alimentato tramite invocazione del servizio getDocumentBlindStatus</w:t>
      </w:r>
      <w:bookmarkEnd w:id="187"/>
      <w:bookmarkEnd w:id="188"/>
      <w:bookmarkEnd w:id="189"/>
      <w:r>
        <w:rPr>
          <w:rStyle w:val="FootnoteReference"/>
        </w:rPr>
        <w:footnoteReference w:id="9"/>
      </w:r>
      <w:r>
        <w:rPr/>
        <w:t>;</w:t>
      </w:r>
    </w:p>
    <w:p>
      <w:pPr>
        <w:pStyle w:val="Normal"/>
        <w:numPr>
          <w:ilvl w:val="1"/>
          <w:numId w:val="67"/>
        </w:numPr>
        <w:rPr/>
      </w:pPr>
      <w:r>
        <w:rPr/>
        <w:t>revisiona la volontà dell’assistito di oscurare il nuovo documento e se lo stesso è soggetto a maggior tutela di anonimato;</w:t>
      </w:r>
    </w:p>
    <w:p>
      <w:pPr>
        <w:pStyle w:val="Normal"/>
        <w:numPr>
          <w:ilvl w:val="1"/>
          <w:numId w:val="67"/>
        </w:numPr>
        <w:rPr/>
      </w:pPr>
      <w:r>
        <w:rPr/>
        <w:t xml:space="preserve">invoca updateDocument con document.status = Approved </w:t>
      </w:r>
      <w:r>
        <w:rPr>
          <w:rStyle w:val="FootnoteReference"/>
        </w:rPr>
        <w:footnoteReference w:id="10"/>
      </w:r>
      <w:r>
        <w:rPr/>
        <w:t>, e documentID = id del documento precedente</w:t>
      </w:r>
    </w:p>
    <w:p>
      <w:pPr>
        <w:pStyle w:val="Normal"/>
        <w:numPr>
          <w:ilvl w:val="0"/>
          <w:numId w:val="67"/>
        </w:numPr>
        <w:ind w:hanging="349" w:left="1560"/>
        <w:rPr/>
      </w:pPr>
      <w:r>
        <w:rPr/>
        <w:t>il SIST procede all’alimentazione del Patient Summary (o EDS) nel fascicolo dell’assistito</w:t>
      </w:r>
    </w:p>
    <w:p>
      <w:pPr>
        <w:pStyle w:val="Normal"/>
        <w:numPr>
          <w:ilvl w:val="0"/>
          <w:numId w:val="67"/>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67"/>
        </w:numPr>
        <w:ind w:hanging="349" w:left="1560"/>
        <w:rPr/>
      </w:pPr>
      <w:r>
        <w:rPr/>
        <w:t>il SIST restituisce il documentURI o eventuali eccezioni</w:t>
      </w:r>
    </w:p>
    <w:p>
      <w:pPr>
        <w:pStyle w:val="Normal"/>
        <w:numPr>
          <w:ilvl w:val="0"/>
          <w:numId w:val="67"/>
        </w:numPr>
        <w:ind w:hanging="349" w:left="1560"/>
        <w:rPr/>
      </w:pPr>
      <w:r>
        <w:rPr/>
        <w:t xml:space="preserve">l’applicativo cartella clinica riporta eventuali eccezioni all’utente o conserva il documentURI per successive richieste </w:t>
      </w:r>
    </w:p>
    <w:p>
      <w:pPr>
        <w:pStyle w:val="Normal"/>
        <w:numPr>
          <w:ilvl w:val="0"/>
          <w:numId w:val="67"/>
        </w:numPr>
        <w:ind w:hanging="349" w:left="1560"/>
        <w:rPr/>
      </w:pPr>
      <w:r>
        <w:rPr/>
        <w:t>Fine</w:t>
      </w:r>
    </w:p>
    <w:p>
      <w:pPr>
        <w:pStyle w:val="Heading2"/>
        <w:rPr/>
      </w:pPr>
      <w:bookmarkStart w:id="190" w:name="_Toc173420558"/>
      <w:bookmarkStart w:id="191" w:name="_Toc438993548"/>
      <w:bookmarkStart w:id="192" w:name="_Toc408843917"/>
      <w:r>
        <w:rPr/>
        <w:t>Scenario 2 –Gestione certificati di malattia</w:t>
      </w:r>
      <w:bookmarkEnd w:id="190"/>
      <w:bookmarkEnd w:id="191"/>
      <w:bookmarkEnd w:id="192"/>
    </w:p>
    <w:p>
      <w:pPr>
        <w:pStyle w:val="Normal"/>
        <w:spacing w:before="120" w:after="120"/>
        <w:rPr>
          <w:i/>
          <w:i/>
        </w:rPr>
      </w:pPr>
      <w:r>
        <w:rPr>
          <w:i/>
        </w:rPr>
        <w:t xml:space="preserve">Applicazioni: </w:t>
      </w:r>
      <w:r>
        <w:rPr/>
        <w:t>Cartelle cliniche MMG</w:t>
      </w:r>
    </w:p>
    <w:p>
      <w:pPr>
        <w:pStyle w:val="Normal"/>
        <w:spacing w:before="120" w:after="120"/>
        <w:rPr/>
      </w:pPr>
      <w:r>
        <w:rPr>
          <w:i/>
        </w:rPr>
        <w:t>Attori coinvolti</w:t>
      </w:r>
      <w:r>
        <w:rPr/>
        <w:t>: Medico di Medicina Generale</w:t>
      </w:r>
    </w:p>
    <w:p>
      <w:pPr>
        <w:pStyle w:val="Normal"/>
        <w:spacing w:before="120" w:after="120"/>
        <w:rPr/>
      </w:pPr>
      <w:r>
        <w:rPr>
          <w:i/>
        </w:rPr>
        <w:t>Servizi FSE coinvolti</w:t>
      </w:r>
      <w:r>
        <w:rPr/>
        <w:t>: addDocument, updateDocument</w:t>
      </w:r>
    </w:p>
    <w:p>
      <w:pPr>
        <w:pStyle w:val="Heading3"/>
        <w:rPr/>
      </w:pPr>
      <w:bookmarkStart w:id="193" w:name="_Toc173420559"/>
      <w:bookmarkStart w:id="194" w:name="_Toc438993549"/>
      <w:bookmarkStart w:id="195" w:name="_Toc408843918"/>
      <w:r>
        <w:rPr/>
        <w:t>Inserimento certificato di malattia</w:t>
      </w:r>
      <w:bookmarkEnd w:id="194"/>
      <w:bookmarkEnd w:id="195"/>
      <w:r>
        <w:rPr/>
        <w:t xml:space="preserve"> INPS</w:t>
      </w:r>
      <w:bookmarkEnd w:id="193"/>
    </w:p>
    <w:p>
      <w:pPr>
        <w:pStyle w:val="Normal"/>
        <w:jc w:val="both"/>
        <w:rPr/>
      </w:pPr>
      <w:r>
        <w:rPr/>
        <w:t>Il servizio consente al MMG di inserire nel FSE un certificato di malattia INPS.</w:t>
      </w:r>
    </w:p>
    <w:p>
      <w:pPr>
        <w:pStyle w:val="Normal"/>
        <w:rPr/>
      </w:pPr>
      <w:r>
        <w:rPr/>
      </w:r>
    </w:p>
    <w:p>
      <w:pPr>
        <w:pStyle w:val="Normal"/>
        <w:ind w:left="-426"/>
        <w:jc w:val="center"/>
        <w:rPr/>
      </w:pPr>
      <w:r>
        <w:rPr/>
        <w:drawing>
          <wp:inline distT="0" distB="0" distL="0" distR="0">
            <wp:extent cx="5314950" cy="4067175"/>
            <wp:effectExtent l="0" t="0" r="0" b="0"/>
            <wp:docPr id="30"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descr=""/>
                    <pic:cNvPicPr>
                      <a:picLocks noChangeAspect="1" noChangeArrowheads="1"/>
                    </pic:cNvPicPr>
                  </pic:nvPicPr>
                  <pic:blipFill>
                    <a:blip r:embed="rId82"/>
                    <a:stretch>
                      <a:fillRect/>
                    </a:stretch>
                  </pic:blipFill>
                  <pic:spPr bwMode="auto">
                    <a:xfrm>
                      <a:off x="0" y="0"/>
                      <a:ext cx="5314950" cy="4067175"/>
                    </a:xfrm>
                    <a:prstGeom prst="rect">
                      <a:avLst/>
                    </a:prstGeom>
                    <a:noFill/>
                  </pic:spPr>
                </pic:pic>
              </a:graphicData>
            </a:graphic>
          </wp:inline>
        </w:drawing>
      </w:r>
    </w:p>
    <w:p>
      <w:pPr>
        <w:pStyle w:val="Normal"/>
        <w:numPr>
          <w:ilvl w:val="0"/>
          <w:numId w:val="68"/>
        </w:numPr>
        <w:rPr/>
      </w:pPr>
      <w:r>
        <w:rPr/>
        <w:t>Inizio</w:t>
      </w:r>
    </w:p>
    <w:p>
      <w:pPr>
        <w:pStyle w:val="Normal"/>
        <w:numPr>
          <w:ilvl w:val="0"/>
          <w:numId w:val="68"/>
        </w:numPr>
        <w:rPr/>
      </w:pPr>
      <w:r>
        <w:rP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pPr>
        <w:pStyle w:val="Normal"/>
        <w:numPr>
          <w:ilvl w:val="0"/>
          <w:numId w:val="68"/>
        </w:numPr>
        <w:ind w:hanging="349" w:left="1560"/>
        <w:rPr/>
      </w:pPr>
      <w:r>
        <w:rPr/>
        <w:t xml:space="preserve">invoca: addDocument con document.status = Approved </w:t>
      </w:r>
      <w:r>
        <w:rPr>
          <w:rStyle w:val="FootnoteReference"/>
        </w:rPr>
        <w:footnoteReference w:id="11"/>
      </w:r>
    </w:p>
    <w:p>
      <w:pPr>
        <w:pStyle w:val="Normal"/>
        <w:numPr>
          <w:ilvl w:val="0"/>
          <w:numId w:val="68"/>
        </w:numPr>
        <w:ind w:hanging="349" w:left="1560"/>
        <w:rPr/>
      </w:pPr>
      <w:r>
        <w:rPr/>
        <w:t>il SIST procede all’inserimento del CDA di certificato di malattia nel fascicolo dell’assistito</w:t>
      </w:r>
    </w:p>
    <w:p>
      <w:pPr>
        <w:pStyle w:val="Normal"/>
        <w:numPr>
          <w:ilvl w:val="0"/>
          <w:numId w:val="68"/>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68"/>
        </w:numPr>
        <w:ind w:hanging="349" w:left="1560"/>
        <w:rPr/>
      </w:pPr>
      <w:r>
        <w:rPr/>
        <w:t>il SIST restituisce il documentURI o eventuali eccezioni</w:t>
      </w:r>
    </w:p>
    <w:p>
      <w:pPr>
        <w:pStyle w:val="Normal"/>
        <w:numPr>
          <w:ilvl w:val="0"/>
          <w:numId w:val="68"/>
        </w:numPr>
        <w:ind w:hanging="349" w:left="1560"/>
        <w:rPr/>
      </w:pPr>
      <w:r>
        <w:rPr/>
        <w:t>l’applicativo cartella clinica riporta all’utente eventuali eccezioni o conserva il documentURI per successive richieste sul documento</w:t>
      </w:r>
    </w:p>
    <w:p>
      <w:pPr>
        <w:pStyle w:val="Normal"/>
        <w:numPr>
          <w:ilvl w:val="0"/>
          <w:numId w:val="68"/>
        </w:numPr>
        <w:ind w:hanging="349" w:left="1560"/>
        <w:rPr/>
      </w:pPr>
      <w:r>
        <w:rPr/>
        <w:t>Fine</w:t>
      </w:r>
    </w:p>
    <w:p>
      <w:pPr>
        <w:pStyle w:val="Heading3"/>
        <w:rPr>
          <w:lang w:val="it-IT"/>
        </w:rPr>
      </w:pPr>
      <w:bookmarkStart w:id="196" w:name="_Toc173420560"/>
      <w:bookmarkStart w:id="197" w:name="_Toc438993550"/>
      <w:bookmarkStart w:id="198" w:name="_Toc408843919"/>
      <w:r>
        <w:rPr>
          <w:lang w:val="it-IT"/>
        </w:rPr>
        <w:t>Rettifica, annullo del certificato di malattia</w:t>
      </w:r>
      <w:bookmarkEnd w:id="196"/>
      <w:bookmarkEnd w:id="197"/>
      <w:bookmarkEnd w:id="198"/>
    </w:p>
    <w:p>
      <w:pPr>
        <w:pStyle w:val="Normal"/>
        <w:ind w:firstLine="1" w:left="-426"/>
        <w:rPr/>
      </w:pPr>
      <w:r>
        <w:rPr/>
      </w:r>
    </w:p>
    <w:p>
      <w:pPr>
        <w:pStyle w:val="Normal"/>
        <w:ind w:firstLine="1" w:left="-426"/>
        <w:rPr/>
      </w:pPr>
      <w:r>
        <w:rPr/>
        <w:drawing>
          <wp:inline distT="0" distB="0" distL="0" distR="0">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83"/>
                    <a:stretch>
                      <a:fillRect/>
                    </a:stretch>
                  </pic:blipFill>
                  <pic:spPr bwMode="auto">
                    <a:xfrm>
                      <a:off x="0" y="0"/>
                      <a:ext cx="5305425" cy="5648325"/>
                    </a:xfrm>
                    <a:prstGeom prst="rect">
                      <a:avLst/>
                    </a:prstGeom>
                    <a:noFill/>
                  </pic:spPr>
                </pic:pic>
              </a:graphicData>
            </a:graphic>
          </wp:inline>
        </w:drawing>
      </w:r>
    </w:p>
    <w:p>
      <w:pPr>
        <w:pStyle w:val="Normal"/>
        <w:rPr>
          <w:b/>
        </w:rPr>
      </w:pPr>
      <w:r>
        <w:rPr>
          <w:b/>
        </w:rPr>
      </w:r>
    </w:p>
    <w:p>
      <w:pPr>
        <w:pStyle w:val="Normal"/>
        <w:rPr>
          <w:b/>
        </w:rPr>
      </w:pPr>
      <w:r>
        <w:rPr>
          <w:b/>
        </w:rPr>
      </w:r>
    </w:p>
    <w:p>
      <w:pPr>
        <w:pStyle w:val="Normal"/>
        <w:rPr/>
      </w:pPr>
      <w:r>
        <w:rPr>
          <w:b/>
        </w:rPr>
        <w:t>Rettifica del certificato di malattia</w:t>
      </w:r>
    </w:p>
    <w:p>
      <w:pPr>
        <w:pStyle w:val="Normal"/>
        <w:rPr/>
      </w:pPr>
      <w:r>
        <w:rPr/>
        <w:t>La rettifica del certificato di malattia INPS si realizza nell’esecuzione sequenziale degli scenari:</w:t>
      </w:r>
    </w:p>
    <w:p>
      <w:pPr>
        <w:pStyle w:val="Normal"/>
        <w:numPr>
          <w:ilvl w:val="3"/>
          <w:numId w:val="58"/>
        </w:numPr>
        <w:ind w:hanging="1746" w:left="2880"/>
        <w:rPr/>
      </w:pPr>
      <w:r>
        <w:rPr/>
        <w:t>Annullo del certificato di malattia (da rettificare);</w:t>
      </w:r>
    </w:p>
    <w:p>
      <w:pPr>
        <w:pStyle w:val="Normal"/>
        <w:numPr>
          <w:ilvl w:val="3"/>
          <w:numId w:val="58"/>
        </w:numPr>
        <w:ind w:hanging="1746" w:left="2880"/>
        <w:rPr/>
      </w:pPr>
      <w:r>
        <w:rPr/>
        <w:t>Inserimento certificato di malattia INPS (documento rettificato).</w:t>
      </w:r>
    </w:p>
    <w:p>
      <w:pPr>
        <w:pStyle w:val="Normal"/>
        <w:rPr/>
      </w:pPr>
      <w:r>
        <w:rPr/>
      </w:r>
    </w:p>
    <w:p>
      <w:pPr>
        <w:pStyle w:val="Normal"/>
        <w:rPr/>
      </w:pPr>
      <w:r>
        <w:rPr>
          <w:b/>
        </w:rPr>
        <w:t>Annullo del certificato di malattia</w:t>
      </w:r>
    </w:p>
    <w:p>
      <w:pPr>
        <w:pStyle w:val="Normal"/>
        <w:numPr>
          <w:ilvl w:val="0"/>
          <w:numId w:val="69"/>
        </w:numPr>
        <w:rPr/>
      </w:pPr>
      <w:r>
        <w:rPr/>
        <w:t>Inizio</w:t>
      </w:r>
    </w:p>
    <w:p>
      <w:pPr>
        <w:pStyle w:val="Normal"/>
        <w:numPr>
          <w:ilvl w:val="0"/>
          <w:numId w:val="69"/>
        </w:numPr>
        <w:rPr/>
      </w:pPr>
      <w:r>
        <w:rPr/>
        <w:t xml:space="preserve">la cartella clinica recupera, al proprio interno, il documentURI oppure invoca il servizio queryDocument </w:t>
      </w:r>
    </w:p>
    <w:p>
      <w:pPr>
        <w:pStyle w:val="Normal"/>
        <w:numPr>
          <w:ilvl w:val="0"/>
          <w:numId w:val="69"/>
        </w:numPr>
        <w:rPr/>
      </w:pPr>
      <w:r>
        <w:rPr/>
        <w:t xml:space="preserve">invoca updateDocument con document.status = Deprecated </w:t>
      </w:r>
      <w:r>
        <w:rPr>
          <w:rStyle w:val="FootnoteReference"/>
        </w:rPr>
        <w:footnoteReference w:id="12"/>
      </w:r>
      <w:r>
        <w:rPr/>
        <w:t>e documentID = id del documento inviato precedentemente al SIST</w:t>
      </w:r>
    </w:p>
    <w:p>
      <w:pPr>
        <w:pStyle w:val="Normal"/>
        <w:numPr>
          <w:ilvl w:val="0"/>
          <w:numId w:val="69"/>
        </w:numPr>
        <w:ind w:hanging="349" w:left="1560"/>
        <w:rPr/>
      </w:pPr>
      <w:r>
        <w:rPr/>
        <w:t>il SIST procede alla cancellazione logica del CDA di certificato di malattia nel fascicolo dell’assistito</w:t>
      </w:r>
    </w:p>
    <w:p>
      <w:pPr>
        <w:pStyle w:val="Normal"/>
        <w:numPr>
          <w:ilvl w:val="0"/>
          <w:numId w:val="69"/>
        </w:numPr>
        <w:ind w:hanging="349" w:left="1560"/>
        <w:rPr/>
      </w:pPr>
      <w:r>
        <w:rPr/>
        <w:t>il SIST restituisce il documentURI o eventuali eccezioni</w:t>
      </w:r>
    </w:p>
    <w:p>
      <w:pPr>
        <w:pStyle w:val="Normal"/>
        <w:numPr>
          <w:ilvl w:val="0"/>
          <w:numId w:val="69"/>
        </w:numPr>
        <w:ind w:hanging="349" w:left="1560"/>
        <w:rPr/>
      </w:pPr>
      <w:r>
        <w:rPr/>
        <w:t>l’applicativo cartella clinica riporta eventuali eccezioni</w:t>
      </w:r>
    </w:p>
    <w:p>
      <w:pPr>
        <w:pStyle w:val="Normal"/>
        <w:numPr>
          <w:ilvl w:val="0"/>
          <w:numId w:val="69"/>
        </w:numPr>
        <w:ind w:hanging="349" w:left="1560"/>
        <w:rPr/>
      </w:pPr>
      <w:r>
        <w:rPr/>
        <w:t>Fine</w:t>
      </w:r>
    </w:p>
    <w:p>
      <w:pPr>
        <w:pStyle w:val="Normal"/>
        <w:rPr/>
      </w:pPr>
      <w:r>
        <w:rPr/>
      </w:r>
    </w:p>
    <w:p>
      <w:pPr>
        <w:pStyle w:val="Heading2"/>
        <w:rPr/>
      </w:pPr>
      <w:bookmarkStart w:id="199" w:name="_Toc173420561"/>
      <w:bookmarkStart w:id="200" w:name="_Toc438993551"/>
      <w:bookmarkStart w:id="201" w:name="_Toc408843920"/>
      <w:r>
        <w:rPr/>
        <w:t>Scenario 3 –Gestione SDO</w:t>
      </w:r>
      <w:bookmarkEnd w:id="199"/>
      <w:bookmarkEnd w:id="200"/>
      <w:bookmarkEnd w:id="201"/>
    </w:p>
    <w:p>
      <w:pPr>
        <w:pStyle w:val="Normal"/>
        <w:spacing w:before="120" w:after="120"/>
        <w:rPr>
          <w:i/>
          <w:i/>
        </w:rPr>
      </w:pPr>
      <w:r>
        <w:rPr>
          <w:i/>
        </w:rPr>
        <w:t xml:space="preserve">Applicazioni: </w:t>
      </w:r>
      <w:r>
        <w:rPr/>
        <w:t>EDOTTO</w:t>
      </w:r>
    </w:p>
    <w:p>
      <w:pPr>
        <w:pStyle w:val="Normal"/>
        <w:spacing w:before="120" w:after="120"/>
        <w:rPr/>
      </w:pPr>
      <w:r>
        <w:rPr>
          <w:i/>
        </w:rPr>
        <w:t>Attori</w:t>
      </w:r>
      <w:r>
        <w:rPr/>
        <w:t>: Medico specialista ospedaliero</w:t>
      </w:r>
    </w:p>
    <w:p>
      <w:pPr>
        <w:pStyle w:val="Normal"/>
        <w:spacing w:before="120" w:after="120"/>
        <w:rPr/>
      </w:pPr>
      <w:r>
        <w:rPr>
          <w:i/>
        </w:rPr>
        <w:t>Servizi FSE</w:t>
      </w:r>
      <w:r>
        <w:rPr/>
        <w:t>: addDocument, updateDocument</w:t>
      </w:r>
    </w:p>
    <w:p>
      <w:pPr>
        <w:pStyle w:val="Normal"/>
        <w:jc w:val="both"/>
        <w:rPr/>
      </w:pPr>
      <w:r>
        <w:rPr/>
        <w:t>I servizi consentono ad un sistema cooperante (Edotto in Regione Puglia) di inserire, aggiornare e annullare una Scheda di Dimissione Ospedaliera (SDO) nel FSE, redatta a seguito di un episodio di ricovero di un assistito.</w:t>
      </w:r>
    </w:p>
    <w:p>
      <w:pPr>
        <w:pStyle w:val="Normal"/>
        <w:spacing w:before="120" w:after="120"/>
        <w:rPr/>
      </w:pPr>
      <w:r>
        <w:rPr/>
      </w:r>
    </w:p>
    <w:p>
      <w:pPr>
        <w:pStyle w:val="Heading3"/>
        <w:rPr/>
      </w:pPr>
      <w:bookmarkStart w:id="202" w:name="_Toc438993552"/>
      <w:bookmarkStart w:id="203" w:name="_Toc408843921"/>
      <w:bookmarkStart w:id="204" w:name="_Toc173420562"/>
      <w:r>
        <w:rPr/>
        <w:t>Inserimento SDO</w:t>
      </w:r>
      <w:bookmarkEnd w:id="202"/>
      <w:bookmarkEnd w:id="203"/>
      <w:bookmarkEnd w:id="204"/>
    </w:p>
    <w:p>
      <w:pPr>
        <w:pStyle w:val="Normal"/>
        <w:ind w:left="-284"/>
        <w:jc w:val="center"/>
        <w:rPr/>
      </w:pPr>
      <w:r>
        <w:rPr/>
        <w:drawing>
          <wp:inline distT="0" distB="0" distL="0" distR="0">
            <wp:extent cx="5772150" cy="5953125"/>
            <wp:effectExtent l="0" t="0" r="0" b="0"/>
            <wp:docPr id="32"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descr=""/>
                    <pic:cNvPicPr>
                      <a:picLocks noChangeAspect="1" noChangeArrowheads="1"/>
                    </pic:cNvPicPr>
                  </pic:nvPicPr>
                  <pic:blipFill>
                    <a:blip r:embed="rId84"/>
                    <a:stretch>
                      <a:fillRect/>
                    </a:stretch>
                  </pic:blipFill>
                  <pic:spPr bwMode="auto">
                    <a:xfrm>
                      <a:off x="0" y="0"/>
                      <a:ext cx="5772150" cy="595312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0"/>
        </w:numPr>
        <w:rPr/>
      </w:pPr>
      <w:r>
        <w:rPr/>
        <w:t>Inizio</w:t>
      </w:r>
    </w:p>
    <w:p>
      <w:pPr>
        <w:pStyle w:val="Normal"/>
        <w:numPr>
          <w:ilvl w:val="0"/>
          <w:numId w:val="70"/>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0"/>
        </w:numPr>
        <w:ind w:hanging="349" w:left="1560"/>
        <w:rPr/>
      </w:pPr>
      <w:r>
        <w:rPr/>
        <w:t xml:space="preserve">Invio documento invocando addDocument con document.status = Approved </w:t>
      </w:r>
      <w:r>
        <w:rPr>
          <w:rStyle w:val="FootnoteReference"/>
        </w:rPr>
        <w:footnoteReference w:id="13"/>
      </w:r>
      <w:r>
        <w:rPr/>
        <w:t xml:space="preserve">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0"/>
        </w:numPr>
        <w:ind w:hanging="349" w:left="1560"/>
        <w:rPr/>
      </w:pPr>
      <w:r>
        <w:rPr/>
        <w:t>il SIST procede all’inserimento del CDA di SDO nel fascicolo dell’assistito</w:t>
      </w:r>
    </w:p>
    <w:p>
      <w:pPr>
        <w:pStyle w:val="Normal"/>
        <w:numPr>
          <w:ilvl w:val="0"/>
          <w:numId w:val="70"/>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0"/>
        </w:numPr>
        <w:ind w:hanging="349" w:left="1560"/>
        <w:rPr/>
      </w:pPr>
      <w:r>
        <w:rPr/>
        <w:t>il SIST restituisce il documentURI o eventuali eccezioni</w:t>
      </w:r>
    </w:p>
    <w:p>
      <w:pPr>
        <w:pStyle w:val="Normal"/>
        <w:numPr>
          <w:ilvl w:val="0"/>
          <w:numId w:val="70"/>
        </w:numPr>
        <w:ind w:hanging="349" w:left="1560"/>
        <w:rPr/>
      </w:pPr>
      <w:r>
        <w:rPr/>
        <w:t>il sistema informativo riporta eventuali eccezioni o conserva il documentURI per successive richieste di aggiornamento o modifica del documento</w:t>
      </w:r>
    </w:p>
    <w:p>
      <w:pPr>
        <w:pStyle w:val="Normal"/>
        <w:numPr>
          <w:ilvl w:val="0"/>
          <w:numId w:val="70"/>
        </w:numPr>
        <w:ind w:hanging="349" w:left="1560"/>
        <w:rPr/>
      </w:pPr>
      <w:r>
        <w:rPr/>
        <w:t>Fine</w:t>
      </w:r>
    </w:p>
    <w:p>
      <w:pPr>
        <w:pStyle w:val="Normal"/>
        <w:rPr/>
      </w:pPr>
      <w:r>
        <w:rPr/>
      </w:r>
    </w:p>
    <w:p>
      <w:pPr>
        <w:pStyle w:val="Heading3"/>
        <w:rPr/>
      </w:pPr>
      <w:bookmarkStart w:id="205" w:name="_Toc173420563"/>
      <w:bookmarkStart w:id="206" w:name="_Toc438993553"/>
      <w:bookmarkStart w:id="207" w:name="_Toc408843922"/>
      <w:r>
        <w:rPr/>
        <w:t>Modifica e annullo SDO</w:t>
      </w:r>
      <w:bookmarkEnd w:id="205"/>
      <w:bookmarkEnd w:id="206"/>
      <w:bookmarkEnd w:id="207"/>
    </w:p>
    <w:p>
      <w:pPr>
        <w:pStyle w:val="Normal"/>
        <w:ind w:left="-284"/>
        <w:rPr/>
      </w:pPr>
      <w:r>
        <w:rPr/>
        <w:drawing>
          <wp:inline distT="0" distB="0" distL="0" distR="0">
            <wp:extent cx="5762625" cy="5943600"/>
            <wp:effectExtent l="0" t="0" r="0" b="0"/>
            <wp:docPr id="33" name="Immagin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descr=""/>
                    <pic:cNvPicPr>
                      <a:picLocks noChangeAspect="1" noChangeArrowheads="1"/>
                    </pic:cNvPicPr>
                  </pic:nvPicPr>
                  <pic:blipFill>
                    <a:blip r:embed="rId85"/>
                    <a:stretch>
                      <a:fillRect/>
                    </a:stretch>
                  </pic:blipFill>
                  <pic:spPr bwMode="auto">
                    <a:xfrm>
                      <a:off x="0" y="0"/>
                      <a:ext cx="5762625" cy="5943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rPr/>
      </w:pPr>
      <w:r>
        <w:rPr>
          <w:b/>
        </w:rPr>
        <w:t>Modifica della SDO</w:t>
      </w:r>
    </w:p>
    <w:p>
      <w:pPr>
        <w:pStyle w:val="Normal"/>
        <w:numPr>
          <w:ilvl w:val="0"/>
          <w:numId w:val="71"/>
        </w:numPr>
        <w:rPr/>
      </w:pPr>
      <w:r>
        <w:rPr/>
        <w:t>Inizio</w:t>
      </w:r>
    </w:p>
    <w:p>
      <w:pPr>
        <w:pStyle w:val="Normal"/>
        <w:numPr>
          <w:ilvl w:val="0"/>
          <w:numId w:val="71"/>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1"/>
        </w:numPr>
        <w:ind w:hanging="349" w:left="1560"/>
        <w:rPr/>
      </w:pPr>
      <w:r>
        <w:rPr/>
        <w:t xml:space="preserve">Invio documento invocando updateDocument con document.status = Approved </w:t>
      </w:r>
      <w:r>
        <w:rPr>
          <w:rStyle w:val="FootnoteReference"/>
        </w:rPr>
        <w:footnoteReference w:id="14"/>
      </w:r>
      <w:r>
        <w:rPr/>
        <w:t xml:space="preserve">e documentID = id del documento inviato precedentemente al SIST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1"/>
        </w:numPr>
        <w:ind w:hanging="349" w:left="1560"/>
        <w:rPr/>
      </w:pPr>
      <w:r>
        <w:rPr/>
        <w:t>il SIST procede all’aggiornamento del CDA di SDO nel fascicolo dell’assistito</w:t>
      </w:r>
    </w:p>
    <w:p>
      <w:pPr>
        <w:pStyle w:val="Normal"/>
        <w:numPr>
          <w:ilvl w:val="0"/>
          <w:numId w:val="71"/>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1"/>
        </w:numPr>
        <w:ind w:hanging="349" w:left="1560"/>
        <w:rPr/>
      </w:pPr>
      <w:r>
        <w:rPr/>
        <w:t>il SIST restituisce il documentURI o eventuali eccezioni</w:t>
      </w:r>
    </w:p>
    <w:p>
      <w:pPr>
        <w:pStyle w:val="Normal"/>
        <w:numPr>
          <w:ilvl w:val="0"/>
          <w:numId w:val="71"/>
        </w:numPr>
        <w:ind w:hanging="349" w:left="1560"/>
        <w:rPr/>
      </w:pPr>
      <w:r>
        <w:rPr/>
        <w:t>il sistema informativo riporta eventuali eccezioni o conserva il documentURI per successive richieste di aggiornamento o modifica del documento</w:t>
      </w:r>
    </w:p>
    <w:p>
      <w:pPr>
        <w:pStyle w:val="Normal"/>
        <w:numPr>
          <w:ilvl w:val="0"/>
          <w:numId w:val="71"/>
        </w:numPr>
        <w:ind w:hanging="349" w:left="1560"/>
        <w:rPr/>
      </w:pPr>
      <w:r>
        <w:rPr/>
        <w:t>Fine</w:t>
      </w:r>
    </w:p>
    <w:p>
      <w:pPr>
        <w:pStyle w:val="Normal"/>
        <w:rPr/>
      </w:pPr>
      <w:r>
        <w:rPr/>
      </w:r>
    </w:p>
    <w:p>
      <w:pPr>
        <w:pStyle w:val="Normal"/>
        <w:rPr/>
      </w:pPr>
      <w:r>
        <w:rPr>
          <w:b/>
        </w:rPr>
        <w:t>Annullo della SDO</w:t>
      </w:r>
    </w:p>
    <w:p>
      <w:pPr>
        <w:pStyle w:val="Normal"/>
        <w:numPr>
          <w:ilvl w:val="0"/>
          <w:numId w:val="72"/>
        </w:numPr>
        <w:rPr/>
      </w:pPr>
      <w:r>
        <w:rPr/>
        <w:t>Inizio</w:t>
      </w:r>
    </w:p>
    <w:p>
      <w:pPr>
        <w:pStyle w:val="Normal"/>
        <w:numPr>
          <w:ilvl w:val="0"/>
          <w:numId w:val="72"/>
        </w:numPr>
        <w:rPr/>
      </w:pPr>
      <w:r>
        <w:rPr/>
        <w:t>il sistema informativo all’accettazione, alla dimissione o comunque durante l’assistenza, registrala volontà dell’assistito di oscurare il documento e se lo stesso è soggetto a maggior tutela di anonimato secondo le finalità del FSE.</w:t>
      </w:r>
    </w:p>
    <w:p>
      <w:pPr>
        <w:pStyle w:val="Normal"/>
        <w:numPr>
          <w:ilvl w:val="0"/>
          <w:numId w:val="72"/>
        </w:numPr>
        <w:ind w:hanging="349" w:left="1560"/>
        <w:rPr/>
      </w:pPr>
      <w:r>
        <w:rPr/>
        <w:t xml:space="preserve">Invio documento invocando updateDocument con document.status = Deprecated </w:t>
      </w:r>
      <w:r>
        <w:rPr>
          <w:rStyle w:val="FootnoteReference"/>
        </w:rPr>
        <w:footnoteReference w:id="15"/>
      </w:r>
      <w:r>
        <w:rPr/>
        <w:t xml:space="preserve">e documentID = id del documento inviato precedentemente al SIST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2"/>
        </w:numPr>
        <w:ind w:hanging="349" w:left="1560"/>
        <w:rPr/>
      </w:pPr>
      <w:r>
        <w:rPr/>
        <w:t>il SIST procede alla cancellazione logica del CDA di SDO nel fascicolo dell’assistito</w:t>
      </w:r>
    </w:p>
    <w:p>
      <w:pPr>
        <w:pStyle w:val="Normal"/>
        <w:numPr>
          <w:ilvl w:val="0"/>
          <w:numId w:val="72"/>
        </w:numPr>
        <w:ind w:hanging="349" w:left="1560"/>
        <w:rPr/>
      </w:pPr>
      <w:r>
        <w:rPr/>
        <w:t>il SIST restituisce il documentURI o eventuali eccezioni</w:t>
      </w:r>
    </w:p>
    <w:p>
      <w:pPr>
        <w:pStyle w:val="Normal"/>
        <w:numPr>
          <w:ilvl w:val="0"/>
          <w:numId w:val="72"/>
        </w:numPr>
        <w:ind w:hanging="349" w:left="1560"/>
        <w:rPr/>
      </w:pPr>
      <w:r>
        <w:rPr/>
        <w:t>il sistema informativo riporta eventuali eccezioni</w:t>
      </w:r>
    </w:p>
    <w:p>
      <w:pPr>
        <w:pStyle w:val="Normal"/>
        <w:numPr>
          <w:ilvl w:val="0"/>
          <w:numId w:val="72"/>
        </w:numPr>
        <w:ind w:hanging="349" w:left="1560"/>
        <w:rPr/>
      </w:pPr>
      <w:r>
        <w:rPr/>
        <w:t>Fine</w:t>
      </w:r>
    </w:p>
    <w:p>
      <w:pPr>
        <w:pStyle w:val="Normal"/>
        <w:rPr/>
      </w:pPr>
      <w:r>
        <w:rPr/>
      </w:r>
    </w:p>
    <w:p>
      <w:pPr>
        <w:pStyle w:val="Normal"/>
        <w:rPr/>
      </w:pPr>
      <w:r>
        <w:rPr/>
      </w:r>
    </w:p>
    <w:p>
      <w:pPr>
        <w:pStyle w:val="Normal"/>
        <w:rPr/>
      </w:pPr>
      <w:r>
        <w:rPr/>
      </w:r>
    </w:p>
    <w:p>
      <w:pPr>
        <w:pStyle w:val="Heading2"/>
        <w:rPr/>
      </w:pPr>
      <w:bookmarkStart w:id="208" w:name="_Toc438993554"/>
      <w:bookmarkStart w:id="209" w:name="_Toc408843923"/>
      <w:bookmarkStart w:id="210" w:name="_Toc173420564"/>
      <w:r>
        <w:rPr/>
        <w:t>Scenario 4 –Gestione referti specialistici, referti di laboratorio</w:t>
      </w:r>
      <w:bookmarkEnd w:id="208"/>
      <w:bookmarkEnd w:id="209"/>
      <w:bookmarkEnd w:id="210"/>
    </w:p>
    <w:p>
      <w:pPr>
        <w:pStyle w:val="Normal"/>
        <w:spacing w:before="120" w:after="120"/>
        <w:rPr>
          <w:i/>
          <w:i/>
          <w:iCs/>
        </w:rPr>
      </w:pPr>
      <w:r>
        <w:rPr>
          <w:i/>
          <w:iCs/>
        </w:rPr>
        <w:t xml:space="preserve">Applicazioni: </w:t>
      </w:r>
      <w:r>
        <w:rPr/>
        <w:t xml:space="preserve">Applicativi e repository Aziendali </w:t>
      </w:r>
    </w:p>
    <w:p>
      <w:pPr>
        <w:pStyle w:val="Normal"/>
        <w:spacing w:before="120" w:after="120"/>
        <w:rPr/>
      </w:pPr>
      <w:r>
        <w:rPr>
          <w:i/>
        </w:rPr>
        <w:t>Attori</w:t>
      </w:r>
      <w:r>
        <w:rPr/>
        <w:t>: Medico Specialista Ambulatoriale, Medico Specialista di Struttura Assistenziale</w:t>
      </w:r>
    </w:p>
    <w:p>
      <w:pPr>
        <w:pStyle w:val="Normal"/>
        <w:spacing w:before="120" w:after="120"/>
        <w:rPr/>
      </w:pPr>
      <w:r>
        <w:rPr>
          <w:i/>
        </w:rPr>
        <w:t>Servizi FSE</w:t>
      </w:r>
      <w:r>
        <w:rPr/>
        <w:t>: addDocument, updateDocument</w:t>
      </w:r>
    </w:p>
    <w:p>
      <w:pPr>
        <w:pStyle w:val="Normal"/>
        <w:jc w:val="both"/>
        <w:rPr/>
      </w:pPr>
      <w:r>
        <w:rPr/>
        <w:t>I servizi consentono ad un sistema aziendale cooperante di inserire, aggiornare e annullare referti emessi a seguito dell’erogazione di prestazioni specialistiche.</w:t>
      </w:r>
    </w:p>
    <w:p>
      <w:pPr>
        <w:pStyle w:val="Heading3"/>
        <w:rPr/>
      </w:pPr>
      <w:bookmarkStart w:id="211" w:name="_Toc173420565"/>
      <w:bookmarkStart w:id="212" w:name="_Toc438993555"/>
      <w:bookmarkStart w:id="213" w:name="_Toc408843924"/>
      <w:r>
        <w:rPr/>
        <w:t>Inserimento referto</w:t>
      </w:r>
      <w:bookmarkEnd w:id="211"/>
      <w:bookmarkEnd w:id="212"/>
      <w:bookmarkEnd w:id="213"/>
    </w:p>
    <w:p>
      <w:pPr>
        <w:pStyle w:val="Normal"/>
        <w:ind w:left="-426"/>
        <w:rPr/>
      </w:pPr>
      <w:r>
        <w:rPr/>
        <w:drawing>
          <wp:inline distT="0" distB="0" distL="0" distR="0">
            <wp:extent cx="5391150" cy="5562600"/>
            <wp:effectExtent l="0" t="0" r="0" b="0"/>
            <wp:docPr id="34"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descr=""/>
                    <pic:cNvPicPr>
                      <a:picLocks noChangeAspect="1" noChangeArrowheads="1"/>
                    </pic:cNvPicPr>
                  </pic:nvPicPr>
                  <pic:blipFill>
                    <a:blip r:embed="rId86"/>
                    <a:stretch>
                      <a:fillRect/>
                    </a:stretch>
                  </pic:blipFill>
                  <pic:spPr bwMode="auto">
                    <a:xfrm>
                      <a:off x="0" y="0"/>
                      <a:ext cx="5391150" cy="5562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ind w:left="1571"/>
        <w:rPr/>
      </w:pPr>
      <w:r>
        <w:rPr/>
      </w:r>
    </w:p>
    <w:p>
      <w:pPr>
        <w:pStyle w:val="Normal"/>
        <w:ind w:left="1571"/>
        <w:rPr/>
      </w:pPr>
      <w:r>
        <w:rPr/>
      </w:r>
    </w:p>
    <w:p>
      <w:pPr>
        <w:pStyle w:val="Normal"/>
        <w:numPr>
          <w:ilvl w:val="0"/>
          <w:numId w:val="73"/>
        </w:numPr>
        <w:rPr/>
      </w:pPr>
      <w:r>
        <w:rPr/>
        <w:t>Inizio</w:t>
      </w:r>
    </w:p>
    <w:p>
      <w:pPr>
        <w:pStyle w:val="Normal"/>
        <w:numPr>
          <w:ilvl w:val="0"/>
          <w:numId w:val="73"/>
        </w:numPr>
        <w:rPr/>
      </w:pPr>
      <w:r>
        <w:rPr/>
        <w:t>l’applicativo all’accettazione registrala volontà dell’assistito, nell’ambito del FSE,di oscurare il documento e se lo stesso è soggetto a maggior tutela di anonimato.</w:t>
      </w:r>
    </w:p>
    <w:p>
      <w:pPr>
        <w:pStyle w:val="Normal"/>
        <w:numPr>
          <w:ilvl w:val="0"/>
          <w:numId w:val="73"/>
        </w:numPr>
        <w:rPr/>
      </w:pPr>
      <w:r>
        <w:rPr/>
        <w:t xml:space="preserve">Invio documento invocando addDocument con document.status = Approved </w:t>
      </w:r>
      <w:r>
        <w:rPr>
          <w:rStyle w:val="FootnoteReference"/>
        </w:rPr>
        <w:footnoteReference w:id="16"/>
      </w:r>
      <w:r>
        <w:rPr/>
        <w:t xml:space="preserve">, completo delle due asserzioni </w:t>
      </w:r>
      <w:r>
        <w:rPr>
          <w:i/>
        </w:rPr>
        <w:t>blindDocument</w:t>
      </w:r>
      <w:r>
        <w:rPr/>
        <w:t xml:space="preserve"> e </w:t>
      </w:r>
      <w:r>
        <w:rPr>
          <w:i/>
        </w:rPr>
        <w:t xml:space="preserve">patientConsent, </w:t>
      </w:r>
      <w:r>
        <w:rPr/>
        <w:t xml:space="preserve">secondo quanto dichiarato dall’assistito in fase di accettazione </w:t>
      </w:r>
    </w:p>
    <w:p>
      <w:pPr>
        <w:pStyle w:val="Normal"/>
        <w:numPr>
          <w:ilvl w:val="0"/>
          <w:numId w:val="73"/>
        </w:numPr>
        <w:ind w:hanging="349" w:left="1560"/>
        <w:rPr/>
      </w:pPr>
      <w:r>
        <w:rPr/>
        <w:t>il SIST procede all’inserimento del CDA del referto nel fascicolo dell’assistito</w:t>
      </w:r>
    </w:p>
    <w:p>
      <w:pPr>
        <w:pStyle w:val="Normal"/>
        <w:numPr>
          <w:ilvl w:val="0"/>
          <w:numId w:val="73"/>
        </w:numPr>
        <w:ind w:hanging="349" w:left="1560"/>
        <w:rPr/>
      </w:pPr>
      <w:r>
        <w:rPr/>
        <w:t>il SIST restituisce il documentURI o eventuali eccezioni</w:t>
      </w:r>
    </w:p>
    <w:p>
      <w:pPr>
        <w:pStyle w:val="Normal"/>
        <w:numPr>
          <w:ilvl w:val="0"/>
          <w:numId w:val="73"/>
        </w:numPr>
        <w:ind w:hanging="349" w:left="1560"/>
        <w:rPr/>
      </w:pPr>
      <w:r>
        <w:rPr/>
        <w:t>l’applicativo riporta eventuali eccezioni o conserva il documentURI per successive richieste di aggiornamento o modifica del documento</w:t>
      </w:r>
    </w:p>
    <w:p>
      <w:pPr>
        <w:pStyle w:val="Normal"/>
        <w:numPr>
          <w:ilvl w:val="0"/>
          <w:numId w:val="73"/>
        </w:numPr>
        <w:ind w:hanging="349" w:left="1560"/>
        <w:rPr/>
      </w:pPr>
      <w:r>
        <w:rPr/>
        <w:t>Fine</w:t>
      </w:r>
    </w:p>
    <w:p>
      <w:pPr>
        <w:pStyle w:val="Normal"/>
        <w:rPr/>
      </w:pPr>
      <w:r>
        <w:rPr/>
      </w:r>
    </w:p>
    <w:p>
      <w:pPr>
        <w:pStyle w:val="Heading3"/>
        <w:rPr/>
      </w:pPr>
      <w:bookmarkStart w:id="214" w:name="_Toc438993556"/>
      <w:bookmarkStart w:id="215" w:name="_Toc408843925"/>
      <w:bookmarkStart w:id="216" w:name="_Toc173420566"/>
      <w:r>
        <w:rPr/>
        <w:t>Modifica e annullo referto</w:t>
      </w:r>
      <w:bookmarkEnd w:id="214"/>
      <w:bookmarkEnd w:id="215"/>
      <w:bookmarkEnd w:id="216"/>
    </w:p>
    <w:p>
      <w:pPr>
        <w:pStyle w:val="ListParagraph"/>
        <w:ind w:left="-426"/>
        <w:rPr/>
      </w:pPr>
      <w:r>
        <w:rPr/>
        <w:drawing>
          <wp:inline distT="0" distB="0" distL="0" distR="0">
            <wp:extent cx="5886450" cy="6067425"/>
            <wp:effectExtent l="0" t="0" r="0" b="0"/>
            <wp:docPr id="35"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descr=""/>
                    <pic:cNvPicPr>
                      <a:picLocks noChangeAspect="1" noChangeArrowheads="1"/>
                    </pic:cNvPicPr>
                  </pic:nvPicPr>
                  <pic:blipFill>
                    <a:blip r:embed="rId87"/>
                    <a:stretch>
                      <a:fillRect/>
                    </a:stretch>
                  </pic:blipFill>
                  <pic:spPr bwMode="auto">
                    <a:xfrm>
                      <a:off x="0" y="0"/>
                      <a:ext cx="5886450" cy="6067425"/>
                    </a:xfrm>
                    <a:prstGeom prst="rect">
                      <a:avLst/>
                    </a:prstGeom>
                    <a:noFill/>
                  </pic:spPr>
                </pic:pic>
              </a:graphicData>
            </a:graphic>
          </wp:inline>
        </w:drawing>
      </w:r>
    </w:p>
    <w:p>
      <w:pPr>
        <w:pStyle w:val="Normal"/>
        <w:rPr/>
      </w:pPr>
      <w:r>
        <w:rPr>
          <w:b/>
        </w:rPr>
        <w:t>Modifica del referto</w:t>
      </w:r>
    </w:p>
    <w:p>
      <w:pPr>
        <w:pStyle w:val="Normal"/>
        <w:numPr>
          <w:ilvl w:val="0"/>
          <w:numId w:val="82"/>
        </w:numPr>
        <w:rPr/>
      </w:pPr>
      <w:r>
        <w:rPr/>
        <w:t>Inizio</w:t>
      </w:r>
    </w:p>
    <w:p>
      <w:pPr>
        <w:pStyle w:val="Normal"/>
        <w:numPr>
          <w:ilvl w:val="0"/>
          <w:numId w:val="82"/>
        </w:numPr>
        <w:rPr>
          <w:i/>
          <w:i/>
          <w:iCs/>
        </w:rPr>
      </w:pPr>
      <w:r>
        <w:rPr/>
        <w:t xml:space="preserve">l’applicativo all’accettazione avendo registrato la volontà dell’assistito di oscurare il documento e se lo stesso è soggetto a maggior tutela di anonimato. Queste due informazioni si traducono nelle due asserzioni </w:t>
      </w:r>
      <w:r>
        <w:rPr>
          <w:i/>
          <w:iCs/>
        </w:rPr>
        <w:t>blindDocument</w:t>
      </w:r>
      <w:r>
        <w:rPr/>
        <w:t xml:space="preserve"> e </w:t>
      </w:r>
      <w:r>
        <w:rPr>
          <w:i/>
          <w:iCs/>
        </w:rPr>
        <w:t>patientConsent</w:t>
      </w:r>
    </w:p>
    <w:p>
      <w:pPr>
        <w:pStyle w:val="Normal"/>
        <w:numPr>
          <w:ilvl w:val="0"/>
          <w:numId w:val="82"/>
        </w:numPr>
        <w:rPr/>
      </w:pPr>
      <w:r>
        <w:rPr/>
        <w:t xml:space="preserve">Invio documento invocando updateDocument con document.status = Approved </w:t>
      </w:r>
      <w:r>
        <w:rPr>
          <w:rStyle w:val="FootnoteReference"/>
        </w:rPr>
        <w:footnoteReference w:id="17"/>
      </w:r>
      <w:r>
        <w:rPr/>
        <w:t xml:space="preserve">e documentID = id del documento inviato precedentemente al SIST </w:t>
      </w:r>
    </w:p>
    <w:p>
      <w:pPr>
        <w:pStyle w:val="Normal"/>
        <w:numPr>
          <w:ilvl w:val="0"/>
          <w:numId w:val="82"/>
        </w:numPr>
        <w:ind w:hanging="349" w:left="1560"/>
        <w:rPr/>
      </w:pPr>
      <w:r>
        <w:rPr/>
        <w:t>il SIST procede all’aggiornamento del CDA di referto nel fascicolo dell’assistito</w:t>
      </w:r>
    </w:p>
    <w:p>
      <w:pPr>
        <w:pStyle w:val="Normal"/>
        <w:numPr>
          <w:ilvl w:val="0"/>
          <w:numId w:val="82"/>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82"/>
        </w:numPr>
        <w:ind w:hanging="349" w:left="1560"/>
        <w:rPr/>
      </w:pPr>
      <w:r>
        <w:rPr/>
        <w:t>il SIST restituisce il documentURI o eventuali eccezioni</w:t>
      </w:r>
    </w:p>
    <w:p>
      <w:pPr>
        <w:pStyle w:val="Normal"/>
        <w:numPr>
          <w:ilvl w:val="0"/>
          <w:numId w:val="82"/>
        </w:numPr>
        <w:ind w:hanging="349" w:left="1560"/>
        <w:rPr/>
      </w:pPr>
      <w:r>
        <w:rPr/>
        <w:t>l’applicativo riporta eventuali eccezioni o conserva il documentURI per successive richieste di aggiornamento o modifica del documento</w:t>
      </w:r>
    </w:p>
    <w:p>
      <w:pPr>
        <w:pStyle w:val="Normal"/>
        <w:numPr>
          <w:ilvl w:val="0"/>
          <w:numId w:val="82"/>
        </w:numPr>
        <w:ind w:hanging="349" w:left="1560"/>
        <w:rPr/>
      </w:pPr>
      <w:r>
        <w:rPr/>
        <w:t>Fine</w:t>
      </w:r>
    </w:p>
    <w:p>
      <w:pPr>
        <w:pStyle w:val="Normal"/>
        <w:rPr/>
      </w:pPr>
      <w:r>
        <w:rPr/>
      </w:r>
    </w:p>
    <w:p>
      <w:pPr>
        <w:pStyle w:val="Normal"/>
        <w:rPr/>
      </w:pPr>
      <w:r>
        <w:rPr>
          <w:b/>
        </w:rPr>
        <w:t>Annullo del referto</w:t>
      </w:r>
    </w:p>
    <w:p>
      <w:pPr>
        <w:pStyle w:val="Normal"/>
        <w:numPr>
          <w:ilvl w:val="0"/>
          <w:numId w:val="83"/>
        </w:numPr>
        <w:rPr/>
      </w:pPr>
      <w:r>
        <w:rPr/>
        <w:t>Inizio</w:t>
      </w:r>
    </w:p>
    <w:p>
      <w:pPr>
        <w:pStyle w:val="Normal"/>
        <w:numPr>
          <w:ilvl w:val="0"/>
          <w:numId w:val="83"/>
        </w:numPr>
        <w:rPr/>
      </w:pPr>
      <w:r>
        <w:rPr/>
        <w:t>l’applicativo all’accettazione avendo registratola volontà dell’assistito di oscurare il documento e se lo stesso è soggetto a maggior tutela di anonimato.</w:t>
      </w:r>
    </w:p>
    <w:p>
      <w:pPr>
        <w:pStyle w:val="Normal"/>
        <w:numPr>
          <w:ilvl w:val="0"/>
          <w:numId w:val="83"/>
        </w:numPr>
        <w:ind w:hanging="349" w:left="1560"/>
        <w:rPr/>
      </w:pPr>
      <w:r>
        <w:rPr/>
        <w:t xml:space="preserve">Invio documento invocando updateDocument con document.status = Deprecated </w:t>
      </w:r>
      <w:r>
        <w:rPr>
          <w:rStyle w:val="FootnoteReference"/>
        </w:rPr>
        <w:footnoteReference w:id="18"/>
      </w:r>
      <w:r>
        <w:rPr/>
        <w:t xml:space="preserve">e documentID = id del documento inviato precedentemente al SIST </w:t>
      </w:r>
    </w:p>
    <w:p>
      <w:pPr>
        <w:pStyle w:val="Normal"/>
        <w:numPr>
          <w:ilvl w:val="0"/>
          <w:numId w:val="83"/>
        </w:numPr>
        <w:ind w:hanging="349" w:left="1560"/>
        <w:rPr/>
      </w:pPr>
      <w:r>
        <w:rPr/>
        <w:t>il SIST procede alla cancellazione logica del CDA di referto nel fascicolo dell’assistito</w:t>
      </w:r>
    </w:p>
    <w:p>
      <w:pPr>
        <w:pStyle w:val="Normal"/>
        <w:numPr>
          <w:ilvl w:val="0"/>
          <w:numId w:val="83"/>
        </w:numPr>
        <w:ind w:hanging="349" w:left="1560"/>
        <w:rPr/>
      </w:pPr>
      <w:r>
        <w:rPr/>
        <w:t>il SIST restituisce il documentURI o eventuali eccezioni</w:t>
      </w:r>
    </w:p>
    <w:p>
      <w:pPr>
        <w:pStyle w:val="Normal"/>
        <w:numPr>
          <w:ilvl w:val="0"/>
          <w:numId w:val="83"/>
        </w:numPr>
        <w:ind w:hanging="349" w:left="1560"/>
        <w:rPr/>
      </w:pPr>
      <w:r>
        <w:rPr/>
        <w:t>l’applicativo riporta eventuali eccezioni</w:t>
      </w:r>
    </w:p>
    <w:p>
      <w:pPr>
        <w:pStyle w:val="Normal"/>
        <w:numPr>
          <w:ilvl w:val="0"/>
          <w:numId w:val="83"/>
        </w:numPr>
        <w:ind w:hanging="349" w:left="1560"/>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217" w:name="_Toc173420567"/>
      <w:bookmarkStart w:id="218" w:name="_Toc438993557"/>
      <w:bookmarkStart w:id="219" w:name="_Toc408843926"/>
      <w:r>
        <w:rPr/>
        <w:t>Scenario 5 –Ricerca documenti</w:t>
      </w:r>
      <w:bookmarkEnd w:id="217"/>
      <w:bookmarkEnd w:id="218"/>
      <w:bookmarkEnd w:id="219"/>
    </w:p>
    <w:p>
      <w:pPr>
        <w:pStyle w:val="Normal"/>
        <w:spacing w:before="120" w:after="120"/>
        <w:rPr/>
      </w:pPr>
      <w:r>
        <w:rPr>
          <w:i/>
        </w:rPr>
        <w:t>Applicativi</w:t>
      </w:r>
      <w:r>
        <w:rPr/>
        <w:t>: Portale della Salute, Gestionali di Cartella Clinica MMG/PLS, Edotto</w:t>
      </w:r>
      <w:r>
        <w:rPr>
          <w:rStyle w:val="FootnoteReference"/>
        </w:rPr>
        <w:footnoteReference w:id="19"/>
      </w:r>
      <w:r>
        <w:rPr/>
        <w:t>, Applicativi e repository Aziendali ASL, Portale della Salute</w:t>
      </w:r>
    </w:p>
    <w:p>
      <w:pPr>
        <w:pStyle w:val="Normal"/>
        <w:spacing w:before="120" w:after="120"/>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spacing w:before="120" w:after="120"/>
        <w:rPr/>
      </w:pPr>
      <w:r>
        <w:rPr>
          <w:i/>
        </w:rPr>
        <w:t>Servizi FSE</w:t>
      </w:r>
      <w:r>
        <w:rPr/>
        <w:t>: queryDocument</w:t>
      </w:r>
    </w:p>
    <w:p>
      <w:pPr>
        <w:pStyle w:val="Normal"/>
        <w:ind w:left="-142"/>
        <w:rPr/>
      </w:pPr>
      <w:r>
        <w:rPr/>
        <w:drawing>
          <wp:inline distT="0" distB="0" distL="0" distR="0">
            <wp:extent cx="5314950" cy="5476875"/>
            <wp:effectExtent l="0" t="0" r="0" b="0"/>
            <wp:docPr id="36"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descr=""/>
                    <pic:cNvPicPr>
                      <a:picLocks noChangeAspect="1" noChangeArrowheads="1"/>
                    </pic:cNvPicPr>
                  </pic:nvPicPr>
                  <pic:blipFill>
                    <a:blip r:embed="rId88"/>
                    <a:stretch>
                      <a:fillRect/>
                    </a:stretch>
                  </pic:blipFill>
                  <pic:spPr bwMode="auto">
                    <a:xfrm>
                      <a:off x="0" y="0"/>
                      <a:ext cx="5314950" cy="54768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4"/>
        </w:numPr>
        <w:rPr/>
      </w:pPr>
      <w:r>
        <w:rPr/>
        <w:t>Inizio</w:t>
      </w:r>
    </w:p>
    <w:p>
      <w:pPr>
        <w:pStyle w:val="Normal"/>
        <w:numPr>
          <w:ilvl w:val="0"/>
          <w:numId w:val="74"/>
        </w:numPr>
        <w:rPr/>
      </w:pPr>
      <w:r>
        <w:rPr/>
        <w:t xml:space="preserve">l’applicativo compila i filtri per la ricerca dei documenti nel FSE (cfr capitolo </w:t>
      </w:r>
      <w:r>
        <w:rPr/>
        <w:fldChar w:fldCharType="begin"/>
      </w:r>
      <w:r>
        <w:rPr/>
        <w:instrText xml:space="preserve"> REF _Ref409087340 \r \r \h </w:instrText>
      </w:r>
      <w:r>
        <w:rPr/>
        <w:fldChar w:fldCharType="separate"/>
      </w:r>
      <w:r>
        <w:rPr/>
        <w:t>9.3</w:t>
      </w:r>
      <w:r>
        <w:rPr/>
        <w:fldChar w:fldCharType="end"/>
      </w:r>
      <w:r>
        <w:rPr/>
        <w:fldChar w:fldCharType="begin"/>
      </w:r>
      <w:r>
        <w:rPr/>
        <w:instrText xml:space="preserve"> REF _Ref409087322 \h </w:instrText>
      </w:r>
      <w:r>
        <w:rPr/>
        <w:fldChar w:fldCharType="separate"/>
      </w:r>
      <w:r>
        <w:rPr/>
        <w:t>Web Service: queryDocument</w:t>
      </w:r>
      <w:r>
        <w:rPr/>
        <w:fldChar w:fldCharType="end"/>
      </w:r>
      <w:r>
        <w:rPr/>
        <w:t>)</w:t>
      </w:r>
    </w:p>
    <w:p>
      <w:pPr>
        <w:pStyle w:val="Normal"/>
        <w:numPr>
          <w:ilvl w:val="0"/>
          <w:numId w:val="74"/>
        </w:numPr>
        <w:ind w:hanging="349" w:left="1560"/>
        <w:rPr/>
      </w:pPr>
      <w:r>
        <w:rPr/>
        <w:t>Ricerca documenti invocando queryDocument</w:t>
      </w:r>
    </w:p>
    <w:p>
      <w:pPr>
        <w:pStyle w:val="Normal"/>
        <w:numPr>
          <w:ilvl w:val="0"/>
          <w:numId w:val="74"/>
        </w:numPr>
        <w:rPr/>
      </w:pPr>
      <w:r>
        <w:rPr/>
        <w:t>Se l’assistito non ha espresso il consenso alla consultazione e il medico è un medico di emergenza, il sistema presenta esplicita dichiarazione da sottoscrivere;</w:t>
      </w:r>
    </w:p>
    <w:p>
      <w:pPr>
        <w:pStyle w:val="Normal"/>
        <w:ind w:left="1571"/>
        <w:rPr/>
      </w:pPr>
      <w:r>
        <w:rPr/>
        <w:t>Se l’assistito ha espresso il consenso alla consultazione, il SIST procede alla ricerca dei documenti e restituisce eventuali eccezioni o una lista di documenti, secondo i criteri di visibilità impostati su ciascun documento</w:t>
      </w:r>
    </w:p>
    <w:p>
      <w:pPr>
        <w:pStyle w:val="Normal"/>
        <w:numPr>
          <w:ilvl w:val="0"/>
          <w:numId w:val="74"/>
        </w:numPr>
        <w:rPr/>
      </w:pPr>
      <w:r>
        <w:rPr/>
        <w:t>l’applicativo riporta eventuali eccezioni o visualizza il risultato della ricerca</w:t>
      </w:r>
    </w:p>
    <w:p>
      <w:pPr>
        <w:pStyle w:val="Normal"/>
        <w:numPr>
          <w:ilvl w:val="0"/>
          <w:numId w:val="74"/>
        </w:numPr>
        <w:ind w:hanging="349" w:left="1560"/>
        <w:rPr/>
      </w:pPr>
      <w:r>
        <w:rPr/>
        <w:t>Fine</w:t>
      </w:r>
    </w:p>
    <w:p>
      <w:pPr>
        <w:pStyle w:val="Normal"/>
        <w:rPr/>
      </w:pPr>
      <w:r>
        <w:rPr/>
      </w:r>
    </w:p>
    <w:p>
      <w:pPr>
        <w:pStyle w:val="Heading2"/>
        <w:rPr/>
      </w:pPr>
      <w:bookmarkStart w:id="220" w:name="_Toc173420568"/>
      <w:bookmarkStart w:id="221" w:name="_Toc438993558"/>
      <w:bookmarkStart w:id="222" w:name="_Toc408843927"/>
      <w:r>
        <w:rPr/>
        <w:t>Scenario 6 – Consultazione Documenti</w:t>
      </w:r>
      <w:bookmarkEnd w:id="220"/>
      <w:bookmarkEnd w:id="221"/>
      <w:bookmarkEnd w:id="222"/>
    </w:p>
    <w:p>
      <w:pPr>
        <w:pStyle w:val="Normal"/>
        <w:rPr/>
      </w:pPr>
      <w:r>
        <w:rPr>
          <w:i/>
        </w:rPr>
        <w:t>Applicativi</w:t>
      </w:r>
      <w:r>
        <w:rPr/>
        <w:t>: Gestionali di Cartella Clinica MMG/PLS, Edotto</w:t>
      </w:r>
      <w:r>
        <w:rPr>
          <w:rStyle w:val="FootnoteReference"/>
        </w:rPr>
        <w:footnoteReference w:id="20"/>
      </w:r>
      <w:r>
        <w:rPr/>
        <w:t>, Applicativi e repository Aziendali ASL</w:t>
      </w:r>
    </w:p>
    <w:p>
      <w:pPr>
        <w:pStyle w:val="Normal"/>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rPr/>
      </w:pPr>
      <w:r>
        <w:rPr>
          <w:i/>
        </w:rPr>
        <w:t>Servizi FSE</w:t>
      </w:r>
      <w:r>
        <w:rPr/>
        <w:t>: retrieveDocument</w:t>
      </w:r>
    </w:p>
    <w:p>
      <w:pPr>
        <w:pStyle w:val="Normal"/>
        <w:rPr/>
      </w:pPr>
      <w:r>
        <w:rPr/>
        <w:t>Questo scenario può essere applicato dalle applicazioni che conservano il documentURI restituito dalla componente FSE a seguito di una ricerca sul fascicolo eseguita con il servizio queryDocument.</w:t>
      </w:r>
    </w:p>
    <w:p>
      <w:pPr>
        <w:pStyle w:val="Normal"/>
        <w:rPr/>
      </w:pPr>
      <w:r>
        <w:rPr/>
      </w:r>
    </w:p>
    <w:p>
      <w:pPr>
        <w:pStyle w:val="Normal"/>
        <w:ind w:firstLine="141" w:left="567"/>
        <w:rPr/>
      </w:pPr>
      <w:r>
        <w:rPr/>
        <w:drawing>
          <wp:inline distT="0" distB="0" distL="0" distR="0">
            <wp:extent cx="4476750" cy="4610100"/>
            <wp:effectExtent l="0" t="0" r="0" b="0"/>
            <wp:docPr id="37"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descr=""/>
                    <pic:cNvPicPr>
                      <a:picLocks noChangeAspect="1" noChangeArrowheads="1"/>
                    </pic:cNvPicPr>
                  </pic:nvPicPr>
                  <pic:blipFill>
                    <a:blip r:embed="rId89"/>
                    <a:stretch>
                      <a:fillRect/>
                    </a:stretch>
                  </pic:blipFill>
                  <pic:spPr bwMode="auto">
                    <a:xfrm>
                      <a:off x="0" y="0"/>
                      <a:ext cx="4476750" cy="46101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5"/>
        </w:numPr>
        <w:rPr/>
      </w:pPr>
      <w:r>
        <w:rPr/>
        <w:t>Inizio</w:t>
      </w:r>
    </w:p>
    <w:p>
      <w:pPr>
        <w:pStyle w:val="Normal"/>
        <w:numPr>
          <w:ilvl w:val="0"/>
          <w:numId w:val="75"/>
        </w:numPr>
        <w:rPr/>
      </w:pPr>
      <w:r>
        <w:rPr/>
        <w:t>l’applicativo recupera il documentURI dai suoi dati o dal risultato della queryDocument sul FSE</w:t>
      </w:r>
    </w:p>
    <w:p>
      <w:pPr>
        <w:pStyle w:val="Normal"/>
        <w:numPr>
          <w:ilvl w:val="0"/>
          <w:numId w:val="75"/>
        </w:numPr>
        <w:rPr/>
      </w:pPr>
      <w:r>
        <w:rPr/>
        <w:t>invoca: retrieveDocument</w:t>
      </w:r>
    </w:p>
    <w:p>
      <w:pPr>
        <w:pStyle w:val="Normal"/>
        <w:numPr>
          <w:ilvl w:val="0"/>
          <w:numId w:val="75"/>
        </w:numPr>
        <w:rPr/>
      </w:pPr>
      <w:r>
        <w:rPr/>
        <w:t>il SIST recupera dal Repository il documento CDA e l’eventuale allegato binario e lo restituisce all’utente</w:t>
      </w:r>
    </w:p>
    <w:p>
      <w:pPr>
        <w:pStyle w:val="Normal"/>
        <w:numPr>
          <w:ilvl w:val="0"/>
          <w:numId w:val="75"/>
        </w:numPr>
        <w:rPr/>
      </w:pPr>
      <w:r>
        <w:rPr/>
        <w:t>l’applicativo riporta eventuali eccezioni o visualizza il documento</w:t>
      </w:r>
    </w:p>
    <w:p>
      <w:pPr>
        <w:pStyle w:val="Normal"/>
        <w:numPr>
          <w:ilvl w:val="0"/>
          <w:numId w:val="75"/>
        </w:numPr>
        <w:ind w:hanging="349" w:left="1560"/>
        <w:rPr/>
      </w:pPr>
      <w:r>
        <w:rPr/>
        <w:t>Fine</w:t>
      </w:r>
    </w:p>
    <w:p>
      <w:pPr>
        <w:pStyle w:val="Normal"/>
        <w:rPr/>
      </w:pPr>
      <w:r>
        <w:rPr/>
      </w:r>
    </w:p>
    <w:p>
      <w:pPr>
        <w:pStyle w:val="Heading2"/>
        <w:rPr/>
      </w:pPr>
      <w:bookmarkStart w:id="223" w:name="_Toc173420569"/>
      <w:bookmarkStart w:id="224" w:name="_Toc438993559"/>
      <w:bookmarkStart w:id="225" w:name="_Toc408843928"/>
      <w:r>
        <w:rPr/>
        <w:t>Scenario 7 – Gestione consensi</w:t>
      </w:r>
      <w:bookmarkEnd w:id="223"/>
      <w:bookmarkEnd w:id="224"/>
      <w:bookmarkEnd w:id="225"/>
    </w:p>
    <w:p>
      <w:pPr>
        <w:pStyle w:val="Normal"/>
        <w:spacing w:before="120" w:after="120"/>
        <w:rPr/>
      </w:pPr>
      <w:r>
        <w:rPr>
          <w:i/>
        </w:rPr>
        <w:t>Applicativi</w:t>
      </w:r>
      <w:r>
        <w:rPr/>
        <w:t>: Gestionali di Cartella Clinica MMG/PLS, Edotto, Portale della Salute</w:t>
      </w:r>
    </w:p>
    <w:p>
      <w:pPr>
        <w:pStyle w:val="Normal"/>
        <w:spacing w:before="120" w:after="120"/>
        <w:rPr/>
      </w:pPr>
      <w:r>
        <w:rPr>
          <w:i/>
          <w:iCs/>
        </w:rPr>
        <w:t>Attori</w:t>
      </w:r>
      <w:r>
        <w:rPr/>
        <w:t>:assistito o suo tutore, medico di medicina generale, pediatra di libera scelta, operatore ASL</w:t>
      </w:r>
    </w:p>
    <w:p>
      <w:pPr>
        <w:pStyle w:val="Normal"/>
        <w:spacing w:before="120" w:after="120"/>
        <w:rPr>
          <w:lang w:val="en-US"/>
        </w:rPr>
      </w:pPr>
      <w:r>
        <w:rPr>
          <w:i/>
          <w:lang w:val="en-US"/>
        </w:rPr>
        <w:t>Servizi FSE</w:t>
      </w:r>
      <w:r>
        <w:rPr>
          <w:lang w:val="en-US"/>
        </w:rPr>
        <w:t>: getWritingAgreement, setWritingAgreement, getReadingAgreement, setReadingAgreement</w:t>
      </w:r>
    </w:p>
    <w:p>
      <w:pPr>
        <w:pStyle w:val="Normal"/>
        <w:rPr/>
      </w:pPr>
      <w:r>
        <w:rPr/>
        <w:t xml:space="preserve">Questo scenario si applica al Portale Regionale della salute, Edotto e alle cartelle cliniche MMG/PLS per la gestione dei consensi all’alimentazione e alla consultazione del FSE. </w:t>
      </w:r>
    </w:p>
    <w:p>
      <w:pPr>
        <w:pStyle w:val="Normal"/>
        <w:rPr/>
      </w:pPr>
      <w:r>
        <w:rPr/>
        <w:t>Nel caso delle cartelle cliniche la gestione del consenso può essere demandata al medico curante con delega dell’assistito e in presenza dell’assistito stesso.</w:t>
      </w:r>
    </w:p>
    <w:p>
      <w:pPr>
        <w:pStyle w:val="Normal"/>
        <w:rPr/>
      </w:pPr>
      <w:r>
        <w:rPr/>
        <w:t>Nel caso di Edotto la gestione del consenso può essere demandata ad un operatore ASL con delega dell’assistito e in presenza dell’assistito stesso.</w:t>
      </w:r>
    </w:p>
    <w:p>
      <w:pPr>
        <w:pStyle w:val="Normal"/>
        <w:rPr/>
      </w:pPr>
      <w:r>
        <w:rP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pPr>
        <w:pStyle w:val="Normal"/>
        <w:ind w:left="-426"/>
        <w:rPr>
          <w:lang w:val="en-US"/>
        </w:rPr>
      </w:pPr>
      <w:r>
        <w:rPr/>
        <w:drawing>
          <wp:inline distT="0" distB="0" distL="0" distR="0">
            <wp:extent cx="6124575" cy="5248275"/>
            <wp:effectExtent l="0" t="0" r="0" b="0"/>
            <wp:docPr id="38"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descr=""/>
                    <pic:cNvPicPr>
                      <a:picLocks noChangeAspect="1" noChangeArrowheads="1"/>
                    </pic:cNvPicPr>
                  </pic:nvPicPr>
                  <pic:blipFill>
                    <a:blip r:embed="rId90"/>
                    <a:stretch>
                      <a:fillRect/>
                    </a:stretch>
                  </pic:blipFill>
                  <pic:spPr bwMode="auto">
                    <a:xfrm>
                      <a:off x="0" y="0"/>
                      <a:ext cx="6124575" cy="52482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6"/>
        </w:numPr>
        <w:rPr/>
      </w:pPr>
      <w:r>
        <w:rPr/>
        <w:t>Inizio</w:t>
      </w:r>
    </w:p>
    <w:p>
      <w:pPr>
        <w:pStyle w:val="Normal"/>
        <w:numPr>
          <w:ilvl w:val="0"/>
          <w:numId w:val="76"/>
        </w:numPr>
        <w:rPr/>
      </w:pPr>
      <w:r>
        <w:rPr/>
        <w:t>Recupero consensi invocando getWritingAgreement e/o getReadingAgreement</w:t>
      </w:r>
    </w:p>
    <w:p>
      <w:pPr>
        <w:pStyle w:val="Normal"/>
        <w:numPr>
          <w:ilvl w:val="0"/>
          <w:numId w:val="76"/>
        </w:numPr>
        <w:rPr/>
      </w:pPr>
      <w:r>
        <w:rPr/>
        <w:t>il SIST restituisce le impostazioni correnti del consenso all’alimentazione e/o alla lettura del fascicolo</w:t>
      </w:r>
    </w:p>
    <w:p>
      <w:pPr>
        <w:pStyle w:val="Normal"/>
        <w:numPr>
          <w:ilvl w:val="0"/>
          <w:numId w:val="76"/>
        </w:numPr>
        <w:rPr/>
      </w:pPr>
      <w:r>
        <w:rPr/>
        <w:t>l’applicativo riporta eventuali eccezioni o visualizza il/i consensi impostati</w:t>
      </w:r>
    </w:p>
    <w:p>
      <w:pPr>
        <w:pStyle w:val="Normal"/>
        <w:numPr>
          <w:ilvl w:val="0"/>
          <w:numId w:val="76"/>
        </w:numPr>
        <w:rPr/>
      </w:pPr>
      <w:r>
        <w:rPr/>
        <w:t>Impostare o revocare il consenso all’alimentazione del fascicolo</w:t>
      </w:r>
    </w:p>
    <w:p>
      <w:pPr>
        <w:pStyle w:val="Normal"/>
        <w:numPr>
          <w:ilvl w:val="0"/>
          <w:numId w:val="76"/>
        </w:numPr>
        <w:rPr/>
      </w:pPr>
      <w:r>
        <w:rPr/>
        <w:t>invoca:setWritingAgreement</w:t>
      </w:r>
    </w:p>
    <w:p>
      <w:pPr>
        <w:pStyle w:val="Normal"/>
        <w:numPr>
          <w:ilvl w:val="0"/>
          <w:numId w:val="76"/>
        </w:numPr>
        <w:rPr/>
      </w:pPr>
      <w:r>
        <w:rPr/>
        <w:t>l’applicativo riporta eventuali eccezioni o visualizza l’esito dell’operazione</w:t>
      </w:r>
    </w:p>
    <w:p>
      <w:pPr>
        <w:pStyle w:val="Normal"/>
        <w:numPr>
          <w:ilvl w:val="0"/>
          <w:numId w:val="76"/>
        </w:numPr>
        <w:rPr/>
      </w:pPr>
      <w:r>
        <w:rPr/>
        <w:t>Impostare o revocare il consenso alla consultazione del fascicolo</w:t>
      </w:r>
    </w:p>
    <w:p>
      <w:pPr>
        <w:pStyle w:val="Normal"/>
        <w:numPr>
          <w:ilvl w:val="0"/>
          <w:numId w:val="76"/>
        </w:numPr>
        <w:rPr/>
      </w:pPr>
      <w:r>
        <w:rPr/>
        <w:t>invoca:setReadingAgreement</w:t>
      </w:r>
    </w:p>
    <w:p>
      <w:pPr>
        <w:pStyle w:val="Normal"/>
        <w:numPr>
          <w:ilvl w:val="0"/>
          <w:numId w:val="76"/>
        </w:numPr>
        <w:rPr/>
      </w:pPr>
      <w:r>
        <w:rPr/>
        <w:t>l’applicativo riporta eventuali eccezioni o visualizza l’esito dell’operazione</w:t>
      </w:r>
    </w:p>
    <w:p>
      <w:pPr>
        <w:pStyle w:val="Normal"/>
        <w:numPr>
          <w:ilvl w:val="0"/>
          <w:numId w:val="76"/>
        </w:numPr>
        <w:rPr/>
      </w:pPr>
      <w:r>
        <w:rPr/>
        <w:t>Fine</w:t>
      </w:r>
    </w:p>
    <w:p>
      <w:pPr>
        <w:pStyle w:val="Normal"/>
        <w:spacing w:before="120" w:after="120"/>
        <w:rPr/>
      </w:pPr>
      <w:r>
        <w:rPr/>
      </w:r>
    </w:p>
    <w:p>
      <w:pPr>
        <w:pStyle w:val="Heading2"/>
        <w:rPr/>
      </w:pPr>
      <w:bookmarkStart w:id="226" w:name="_Toc173420570"/>
      <w:bookmarkStart w:id="227" w:name="_Toc438993560"/>
      <w:bookmarkStart w:id="228" w:name="_Toc408843929"/>
      <w:r>
        <w:rPr>
          <w:lang w:val="it-IT"/>
        </w:rPr>
        <w:t>Scenario 8 – Gestione consensi puntuali su documenti</w:t>
      </w:r>
      <w:bookmarkEnd w:id="226"/>
      <w:bookmarkEnd w:id="227"/>
      <w:bookmarkEnd w:id="228"/>
    </w:p>
    <w:p>
      <w:pPr>
        <w:pStyle w:val="Normal"/>
        <w:spacing w:before="120" w:after="120"/>
        <w:rPr/>
      </w:pPr>
      <w:r>
        <w:rPr>
          <w:i/>
        </w:rPr>
        <w:t>Applicativi</w:t>
      </w:r>
      <w:r>
        <w:rPr/>
        <w:t>: Portale della Salute</w:t>
      </w:r>
    </w:p>
    <w:p>
      <w:pPr>
        <w:pStyle w:val="Normal"/>
        <w:spacing w:before="120" w:after="120"/>
        <w:rPr/>
      </w:pPr>
      <w:r>
        <w:rPr>
          <w:i/>
        </w:rPr>
        <w:t>Attori</w:t>
      </w:r>
      <w:r>
        <w:rPr/>
        <w:t>:assistito o suo tutore;</w:t>
      </w:r>
    </w:p>
    <w:p>
      <w:pPr>
        <w:pStyle w:val="Normal"/>
        <w:spacing w:before="120" w:after="120"/>
        <w:rPr/>
      </w:pPr>
      <w:r>
        <w:rPr>
          <w:i/>
        </w:rPr>
        <w:t>Servizi FSE</w:t>
      </w:r>
      <w:r>
        <w:rPr/>
        <w:t>: getAccessPolicy, setAccessPolicy</w:t>
      </w:r>
    </w:p>
    <w:p>
      <w:pPr>
        <w:pStyle w:val="Normal"/>
        <w:spacing w:before="120" w:after="120"/>
        <w:rPr/>
      </w:pPr>
      <w:r>
        <w:rPr/>
        <w:t>Questo scenario è applicato nel caso in cui, utilizzando le funzionalità messe a disposizione dal Portale della Salute, l'assistito vuole modificare i permessi puntuali sui singoli documenti del proprio FSE.</w:t>
      </w:r>
    </w:p>
    <w:p>
      <w:pPr>
        <w:pStyle w:val="Normal"/>
        <w:spacing w:before="120" w:after="120"/>
        <w:rPr/>
      </w:pPr>
      <w:r>
        <w:rP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pPr>
        <w:pStyle w:val="Normal"/>
        <w:ind w:left="-426"/>
        <w:rPr/>
      </w:pPr>
      <w:r>
        <w:rPr/>
        <w:drawing>
          <wp:inline distT="0" distB="0" distL="0" distR="0">
            <wp:extent cx="5314950" cy="5057775"/>
            <wp:effectExtent l="0" t="0" r="0" b="0"/>
            <wp:docPr id="39"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descr=""/>
                    <pic:cNvPicPr>
                      <a:picLocks noChangeAspect="1" noChangeArrowheads="1"/>
                    </pic:cNvPicPr>
                  </pic:nvPicPr>
                  <pic:blipFill>
                    <a:blip r:embed="rId91"/>
                    <a:stretch>
                      <a:fillRect/>
                    </a:stretch>
                  </pic:blipFill>
                  <pic:spPr bwMode="auto">
                    <a:xfrm>
                      <a:off x="0" y="0"/>
                      <a:ext cx="5314950" cy="5057775"/>
                    </a:xfrm>
                    <a:prstGeom prst="rect">
                      <a:avLst/>
                    </a:prstGeom>
                    <a:noFill/>
                  </pic:spPr>
                </pic:pic>
              </a:graphicData>
            </a:graphic>
          </wp:inline>
        </w:drawing>
      </w:r>
    </w:p>
    <w:p>
      <w:pPr>
        <w:pStyle w:val="Normal"/>
        <w:rPr/>
      </w:pPr>
      <w:r>
        <w:rPr/>
      </w:r>
    </w:p>
    <w:p>
      <w:pPr>
        <w:pStyle w:val="Normal"/>
        <w:rPr/>
      </w:pPr>
      <w:r>
        <w:rPr>
          <w:b/>
        </w:rPr>
        <w:t>Consultazione consensi puntuali</w:t>
      </w:r>
    </w:p>
    <w:p>
      <w:pPr>
        <w:pStyle w:val="Normal"/>
        <w:numPr>
          <w:ilvl w:val="0"/>
          <w:numId w:val="84"/>
        </w:numPr>
        <w:rPr/>
      </w:pPr>
      <w:r>
        <w:rPr/>
        <w:t>Inizio</w:t>
      </w:r>
    </w:p>
    <w:p>
      <w:pPr>
        <w:pStyle w:val="Normal"/>
        <w:numPr>
          <w:ilvl w:val="0"/>
          <w:numId w:val="84"/>
        </w:numPr>
        <w:ind w:hanging="349" w:left="1560"/>
        <w:rPr/>
      </w:pPr>
      <w:r>
        <w:rPr/>
        <w:t>Recupero consensi puntuali</w:t>
      </w:r>
    </w:p>
    <w:p>
      <w:pPr>
        <w:pStyle w:val="Normal"/>
        <w:numPr>
          <w:ilvl w:val="0"/>
          <w:numId w:val="84"/>
        </w:numPr>
        <w:ind w:hanging="349" w:left="1560"/>
        <w:rPr/>
      </w:pPr>
      <w:r>
        <w:rPr/>
        <w:t>invoca: getAccessPolicies</w:t>
      </w:r>
    </w:p>
    <w:p>
      <w:pPr>
        <w:pStyle w:val="Normal"/>
        <w:numPr>
          <w:ilvl w:val="0"/>
          <w:numId w:val="84"/>
        </w:numPr>
        <w:ind w:hanging="349" w:left="1560"/>
        <w:rPr/>
      </w:pPr>
      <w:r>
        <w:rPr/>
        <w:t>il SIST restituisce le politiche di accesso impostate in funzione del ruolo dell’operatore sulle diverse tipologie di documento e sui singoli documenti presenti nel fascicolo dell’assistito</w:t>
      </w:r>
    </w:p>
    <w:p>
      <w:pPr>
        <w:pStyle w:val="Normal"/>
        <w:numPr>
          <w:ilvl w:val="0"/>
          <w:numId w:val="84"/>
        </w:numPr>
        <w:ind w:hanging="349" w:left="1560"/>
        <w:rPr/>
      </w:pPr>
      <w:r>
        <w:rPr/>
        <w:t>l’applicativo riporta eventuali eccezioni o mostra le politiche di accesso</w:t>
      </w:r>
    </w:p>
    <w:p>
      <w:pPr>
        <w:pStyle w:val="Normal"/>
        <w:numPr>
          <w:ilvl w:val="0"/>
          <w:numId w:val="84"/>
        </w:numPr>
        <w:ind w:hanging="349" w:left="1560"/>
        <w:rPr/>
      </w:pPr>
      <w:r>
        <w:rPr/>
        <w:t>Fine</w:t>
      </w:r>
    </w:p>
    <w:p>
      <w:pPr>
        <w:pStyle w:val="Normal"/>
        <w:rPr>
          <w:b/>
        </w:rPr>
      </w:pPr>
      <w:r>
        <w:rPr>
          <w:b/>
        </w:rPr>
      </w:r>
    </w:p>
    <w:p>
      <w:pPr>
        <w:pStyle w:val="Normal"/>
        <w:rPr>
          <w:b/>
        </w:rPr>
      </w:pPr>
      <w:r>
        <w:rPr>
          <w:b/>
        </w:rPr>
      </w:r>
    </w:p>
    <w:p>
      <w:pPr>
        <w:pStyle w:val="Normal"/>
        <w:rPr/>
      </w:pPr>
      <w:r>
        <w:rPr>
          <w:b/>
        </w:rPr>
        <w:t>Modifica consensi puntuali</w:t>
      </w:r>
    </w:p>
    <w:p>
      <w:pPr>
        <w:pStyle w:val="Normal"/>
        <w:numPr>
          <w:ilvl w:val="0"/>
          <w:numId w:val="77"/>
        </w:numPr>
        <w:rPr/>
      </w:pPr>
      <w:r>
        <w:rPr/>
        <w:t>Inizio</w:t>
      </w:r>
    </w:p>
    <w:p>
      <w:pPr>
        <w:pStyle w:val="Normal"/>
        <w:numPr>
          <w:ilvl w:val="0"/>
          <w:numId w:val="77"/>
        </w:numPr>
        <w:ind w:hanging="349" w:left="1560"/>
        <w:rPr/>
      </w:pPr>
      <w:r>
        <w:rPr/>
        <w:t>Recupero consensi puntuali</w:t>
      </w:r>
    </w:p>
    <w:p>
      <w:pPr>
        <w:pStyle w:val="Normal"/>
        <w:numPr>
          <w:ilvl w:val="0"/>
          <w:numId w:val="77"/>
        </w:numPr>
        <w:ind w:hanging="349" w:left="1560"/>
        <w:rPr/>
      </w:pPr>
      <w:r>
        <w:rPr/>
        <w:t>invoca: getAccessPolicies</w:t>
      </w:r>
    </w:p>
    <w:p>
      <w:pPr>
        <w:pStyle w:val="Normal"/>
        <w:numPr>
          <w:ilvl w:val="0"/>
          <w:numId w:val="77"/>
        </w:numPr>
        <w:ind w:hanging="349" w:left="1560"/>
        <w:rPr/>
      </w:pPr>
      <w:r>
        <w:rPr/>
        <w:t>il SIST restituisce le politiche di accesso impostate in funzione del ruolo dell’operatore sulle diverse tipologie di documento e sui singoli documenti presenti nel fascicolo dell’assistito, l’applicativo riporta eventuali eccezioni o mostra le politiche di accesso</w:t>
      </w:r>
    </w:p>
    <w:p>
      <w:pPr>
        <w:pStyle w:val="Normal"/>
        <w:numPr>
          <w:ilvl w:val="0"/>
          <w:numId w:val="77"/>
        </w:numPr>
        <w:ind w:hanging="349" w:left="1560"/>
        <w:rPr/>
      </w:pPr>
      <w:r>
        <w:rPr/>
        <w:t>l’applicativo consente all’utente di modificare le politiche di accesso</w:t>
      </w:r>
    </w:p>
    <w:p>
      <w:pPr>
        <w:pStyle w:val="Normal"/>
        <w:numPr>
          <w:ilvl w:val="0"/>
          <w:numId w:val="77"/>
        </w:numPr>
        <w:ind w:hanging="349" w:left="1560"/>
        <w:rPr/>
      </w:pPr>
      <w:r>
        <w:rPr/>
        <w:t>Salvataggio consensi puntuali</w:t>
      </w:r>
    </w:p>
    <w:p>
      <w:pPr>
        <w:pStyle w:val="Normal"/>
        <w:numPr>
          <w:ilvl w:val="0"/>
          <w:numId w:val="77"/>
        </w:numPr>
        <w:ind w:hanging="349" w:left="1560"/>
        <w:rPr/>
      </w:pPr>
      <w:r>
        <w:rPr/>
        <w:t>invoca: setAccessPolicies</w:t>
      </w:r>
    </w:p>
    <w:p>
      <w:pPr>
        <w:pStyle w:val="Normal"/>
        <w:numPr>
          <w:ilvl w:val="0"/>
          <w:numId w:val="77"/>
        </w:numPr>
        <w:ind w:hanging="349" w:left="1560"/>
        <w:rPr/>
      </w:pPr>
      <w:r>
        <w:rPr/>
        <w:t>il SIST salva le nuove politiche di accesso per ruolo</w:t>
      </w:r>
    </w:p>
    <w:p>
      <w:pPr>
        <w:pStyle w:val="Normal"/>
        <w:numPr>
          <w:ilvl w:val="0"/>
          <w:numId w:val="77"/>
        </w:numPr>
        <w:ind w:hanging="349" w:left="1560"/>
        <w:rPr/>
      </w:pPr>
      <w:r>
        <w:rPr/>
        <w:t>l’applicativo riporta eventuali eccezioni</w:t>
      </w:r>
    </w:p>
    <w:p>
      <w:pPr>
        <w:pStyle w:val="Normal"/>
        <w:numPr>
          <w:ilvl w:val="0"/>
          <w:numId w:val="77"/>
        </w:numPr>
        <w:ind w:hanging="349" w:left="1560"/>
        <w:rPr/>
      </w:pPr>
      <w:r>
        <w:rPr/>
        <w:t>Fine</w:t>
      </w:r>
    </w:p>
    <w:p>
      <w:pPr>
        <w:pStyle w:val="Normal"/>
        <w:rPr/>
      </w:pPr>
      <w:r>
        <w:rPr/>
      </w:r>
    </w:p>
    <w:p>
      <w:pPr>
        <w:pStyle w:val="Heading2"/>
        <w:rPr/>
      </w:pPr>
      <w:bookmarkStart w:id="229" w:name="_Toc173420571"/>
      <w:bookmarkStart w:id="230" w:name="_Toc438993561"/>
      <w:r>
        <w:rPr/>
        <w:t>Scenario 9 – Gestione oscuramento su documenti</w:t>
      </w:r>
      <w:bookmarkEnd w:id="229"/>
      <w:bookmarkEnd w:id="230"/>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queryDocument, blindDocument</w:t>
      </w:r>
    </w:p>
    <w:p>
      <w:pPr>
        <w:pStyle w:val="Normal"/>
        <w:spacing w:before="120" w:after="120"/>
        <w:rPr/>
      </w:pPr>
      <w:r>
        <w:rPr/>
        <w:t>Questo scenario è applicato nel caso in cui, utilizzando le funzionalità messe a disposizione dal Portale della Salute, l’assistito, o il suo tutore, vuole modificare l’oscuramento sui singoli documenti del proprio FSE.</w:t>
      </w:r>
    </w:p>
    <w:p>
      <w:pPr>
        <w:pStyle w:val="Normal"/>
        <w:spacing w:before="120" w:after="120"/>
        <w:rPr/>
      </w:pPr>
      <w:r>
        <w:rPr/>
      </w:r>
    </w:p>
    <w:p>
      <w:pPr>
        <w:pStyle w:val="Normal"/>
        <w:ind w:left="-426"/>
        <w:rPr/>
      </w:pPr>
      <w:r>
        <w:rPr/>
        <w:drawing>
          <wp:inline distT="0" distB="0" distL="0" distR="0">
            <wp:extent cx="5314950" cy="4057650"/>
            <wp:effectExtent l="0" t="0" r="0" b="0"/>
            <wp:docPr id="40"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descr=""/>
                    <pic:cNvPicPr>
                      <a:picLocks noChangeAspect="1" noChangeArrowheads="1"/>
                    </pic:cNvPicPr>
                  </pic:nvPicPr>
                  <pic:blipFill>
                    <a:blip r:embed="rId92"/>
                    <a:stretch>
                      <a:fillRect/>
                    </a:stretch>
                  </pic:blipFill>
                  <pic:spPr bwMode="auto">
                    <a:xfrm>
                      <a:off x="0" y="0"/>
                      <a:ext cx="5314950" cy="4057650"/>
                    </a:xfrm>
                    <a:prstGeom prst="rect">
                      <a:avLst/>
                    </a:prstGeom>
                    <a:noFill/>
                  </pic:spPr>
                </pic:pic>
              </a:graphicData>
            </a:graphic>
          </wp:inline>
        </w:drawing>
      </w:r>
    </w:p>
    <w:p>
      <w:pPr>
        <w:pStyle w:val="Normal"/>
        <w:rPr/>
      </w:pPr>
      <w:r>
        <w:rPr/>
      </w:r>
    </w:p>
    <w:p>
      <w:pPr>
        <w:pStyle w:val="Normal"/>
        <w:rPr/>
      </w:pPr>
      <w:r>
        <w:rPr/>
      </w:r>
    </w:p>
    <w:p>
      <w:pPr>
        <w:pStyle w:val="Normal"/>
        <w:rPr/>
      </w:pPr>
      <w:r>
        <w:rPr>
          <w:b/>
        </w:rPr>
        <w:t>Consultazione oscuramento documenti</w:t>
      </w:r>
    </w:p>
    <w:p>
      <w:pPr>
        <w:pStyle w:val="Normal"/>
        <w:numPr>
          <w:ilvl w:val="0"/>
          <w:numId w:val="78"/>
        </w:numPr>
        <w:rPr/>
      </w:pPr>
      <w:r>
        <w:rPr/>
        <w:t>Inizio</w:t>
      </w:r>
    </w:p>
    <w:p>
      <w:pPr>
        <w:pStyle w:val="Normal"/>
        <w:numPr>
          <w:ilvl w:val="0"/>
          <w:numId w:val="78"/>
        </w:numPr>
        <w:ind w:hanging="349" w:left="1560"/>
        <w:rPr/>
      </w:pPr>
      <w:r>
        <w:rPr/>
        <w:t>Recupero documenti</w:t>
      </w:r>
    </w:p>
    <w:p>
      <w:pPr>
        <w:pStyle w:val="Normal"/>
        <w:numPr>
          <w:ilvl w:val="0"/>
          <w:numId w:val="78"/>
        </w:numPr>
        <w:ind w:hanging="349" w:left="1560"/>
        <w:rPr/>
      </w:pPr>
      <w:r>
        <w:rPr/>
        <w:t>invoca: queryDocument (senza parametri ad eccezione del codice dell’assistito)</w:t>
      </w:r>
    </w:p>
    <w:p>
      <w:pPr>
        <w:pStyle w:val="Normal"/>
        <w:numPr>
          <w:ilvl w:val="0"/>
          <w:numId w:val="78"/>
        </w:numPr>
        <w:ind w:hanging="349" w:left="1560"/>
        <w:rPr/>
      </w:pPr>
      <w:r>
        <w:rPr/>
        <w:t>il SIST restituisce tutti i documenti presenti nel fascicolo dell’assistito con il relativo oscuramento impostato tra i metadati</w:t>
      </w:r>
    </w:p>
    <w:p>
      <w:pPr>
        <w:pStyle w:val="Normal"/>
        <w:numPr>
          <w:ilvl w:val="0"/>
          <w:numId w:val="78"/>
        </w:numPr>
        <w:ind w:hanging="349" w:left="1560"/>
        <w:rPr/>
      </w:pPr>
      <w:r>
        <w:rPr/>
        <w:t>l’applicativo riporta eventuali eccezioni o mostra la lista dei documenti con il relativo oscuramento</w:t>
      </w:r>
    </w:p>
    <w:p>
      <w:pPr>
        <w:pStyle w:val="Normal"/>
        <w:numPr>
          <w:ilvl w:val="0"/>
          <w:numId w:val="78"/>
        </w:numPr>
        <w:ind w:hanging="349" w:left="1560"/>
        <w:rPr/>
      </w:pPr>
      <w:r>
        <w:rPr/>
        <w:t>Fine</w:t>
      </w:r>
    </w:p>
    <w:p>
      <w:pPr>
        <w:pStyle w:val="Normal"/>
        <w:rPr/>
      </w:pPr>
      <w:r>
        <w:rPr/>
      </w:r>
    </w:p>
    <w:p>
      <w:pPr>
        <w:pStyle w:val="Normal"/>
        <w:rPr/>
      </w:pPr>
      <w:r>
        <w:rPr>
          <w:b/>
        </w:rPr>
        <w:t>Modifica oscuramento documenti</w:t>
      </w:r>
    </w:p>
    <w:p>
      <w:pPr>
        <w:pStyle w:val="Normal"/>
        <w:numPr>
          <w:ilvl w:val="0"/>
          <w:numId w:val="79"/>
        </w:numPr>
        <w:rPr/>
      </w:pPr>
      <w:r>
        <w:rPr/>
        <w:t>Inizio</w:t>
      </w:r>
    </w:p>
    <w:p>
      <w:pPr>
        <w:pStyle w:val="Normal"/>
        <w:numPr>
          <w:ilvl w:val="0"/>
          <w:numId w:val="79"/>
        </w:numPr>
        <w:ind w:hanging="349" w:left="1560"/>
        <w:rPr/>
      </w:pPr>
      <w:r>
        <w:rPr/>
        <w:t>Recupero documenti</w:t>
      </w:r>
    </w:p>
    <w:p>
      <w:pPr>
        <w:pStyle w:val="Normal"/>
        <w:numPr>
          <w:ilvl w:val="0"/>
          <w:numId w:val="79"/>
        </w:numPr>
        <w:ind w:hanging="349" w:left="1560"/>
        <w:rPr/>
      </w:pPr>
      <w:r>
        <w:rPr/>
        <w:t>invoca: queryDocument (senza parametri ad eccezione del codice dell’assistito)</w:t>
      </w:r>
    </w:p>
    <w:p>
      <w:pPr>
        <w:pStyle w:val="Normal"/>
        <w:numPr>
          <w:ilvl w:val="0"/>
          <w:numId w:val="79"/>
        </w:numPr>
        <w:ind w:hanging="349" w:left="1560"/>
        <w:rPr/>
      </w:pPr>
      <w:r>
        <w:rPr/>
        <w:t>il SIST restituisce tutti i documenti presenti nel fascicolo dell’assistito con il relativo oscuramento impostato tra i metadati</w:t>
      </w:r>
    </w:p>
    <w:p>
      <w:pPr>
        <w:pStyle w:val="Normal"/>
        <w:numPr>
          <w:ilvl w:val="0"/>
          <w:numId w:val="79"/>
        </w:numPr>
        <w:ind w:hanging="349" w:left="1560"/>
        <w:rPr/>
      </w:pPr>
      <w:r>
        <w:rPr/>
        <w:t>l’applicativo riporta eventuali eccezioni o mostra la lista dei documenti con il relativo oscuramento</w:t>
      </w:r>
    </w:p>
    <w:p>
      <w:pPr>
        <w:pStyle w:val="Normal"/>
        <w:numPr>
          <w:ilvl w:val="0"/>
          <w:numId w:val="79"/>
        </w:numPr>
        <w:ind w:hanging="349" w:left="1560"/>
        <w:rPr/>
      </w:pPr>
      <w:r>
        <w:rPr/>
        <w:t>l’applicativo consente all’utente di impostare l’oscuramento sui documenti</w:t>
      </w:r>
    </w:p>
    <w:p>
      <w:pPr>
        <w:pStyle w:val="Normal"/>
        <w:numPr>
          <w:ilvl w:val="0"/>
          <w:numId w:val="79"/>
        </w:numPr>
        <w:ind w:hanging="349" w:left="1560"/>
        <w:rPr/>
      </w:pPr>
      <w:r>
        <w:rPr/>
        <w:t>Imposta oscuramento per ogni documento modificato</w:t>
      </w:r>
    </w:p>
    <w:p>
      <w:pPr>
        <w:pStyle w:val="Normal"/>
        <w:numPr>
          <w:ilvl w:val="0"/>
          <w:numId w:val="79"/>
        </w:numPr>
        <w:ind w:hanging="349" w:left="1560"/>
        <w:rPr/>
      </w:pPr>
      <w:r>
        <w:rPr/>
        <w:t>invoca: blindDocument per ogni documento</w:t>
      </w:r>
    </w:p>
    <w:p>
      <w:pPr>
        <w:pStyle w:val="Normal"/>
        <w:numPr>
          <w:ilvl w:val="0"/>
          <w:numId w:val="79"/>
        </w:numPr>
        <w:ind w:hanging="349" w:left="1560"/>
        <w:rPr/>
      </w:pPr>
      <w:r>
        <w:rPr/>
        <w:t>l’applicativo riporta eventuali eccezioni o mostra l’esito dell’operazione</w:t>
      </w:r>
    </w:p>
    <w:p>
      <w:pPr>
        <w:pStyle w:val="Normal"/>
        <w:numPr>
          <w:ilvl w:val="0"/>
          <w:numId w:val="79"/>
        </w:numPr>
        <w:ind w:hanging="349" w:left="1560"/>
        <w:rPr/>
      </w:pPr>
      <w:r>
        <w:rPr/>
        <w:t>Fine</w:t>
      </w:r>
    </w:p>
    <w:p>
      <w:pPr>
        <w:pStyle w:val="Normal"/>
        <w:rPr/>
      </w:pPr>
      <w:r>
        <w:rPr/>
      </w:r>
    </w:p>
    <w:p>
      <w:pPr>
        <w:pStyle w:val="Heading2"/>
        <w:rPr/>
      </w:pPr>
      <w:bookmarkStart w:id="231" w:name="_Toc173420572"/>
      <w:bookmarkStart w:id="232" w:name="_Toc438993562"/>
      <w:r>
        <w:rPr/>
        <w:t>Scenario 10 – Consultazione log accessi</w:t>
      </w:r>
      <w:bookmarkEnd w:id="231"/>
      <w:bookmarkEnd w:id="232"/>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getAccessLog</w:t>
      </w:r>
    </w:p>
    <w:p>
      <w:pPr>
        <w:pStyle w:val="Normal"/>
        <w:spacing w:before="120" w:after="120"/>
        <w:rPr/>
      </w:pPr>
      <w:r>
        <w:rPr/>
        <w:t>Questo scenario è applicato nel caso in cui, utilizzando le funzionalità messe a disposizione dal Portale della Salute, l’assistito, o il suo tutore, vuole consultare le operazioni svolte dagli operatori sul proprio FSE.</w:t>
      </w:r>
    </w:p>
    <w:p>
      <w:pPr>
        <w:pStyle w:val="Normal"/>
        <w:ind w:left="0"/>
        <w:rPr/>
      </w:pPr>
      <w:r>
        <w:rPr/>
        <w:drawing>
          <wp:inline distT="0" distB="0" distL="0" distR="0">
            <wp:extent cx="5314950" cy="5514975"/>
            <wp:effectExtent l="0" t="0" r="0" b="0"/>
            <wp:docPr id="41"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descr=""/>
                    <pic:cNvPicPr>
                      <a:picLocks noChangeAspect="1" noChangeArrowheads="1"/>
                    </pic:cNvPicPr>
                  </pic:nvPicPr>
                  <pic:blipFill>
                    <a:blip r:embed="rId93"/>
                    <a:stretch>
                      <a:fillRect/>
                    </a:stretch>
                  </pic:blipFill>
                  <pic:spPr bwMode="auto">
                    <a:xfrm>
                      <a:off x="0" y="0"/>
                      <a:ext cx="5314950" cy="5514975"/>
                    </a:xfrm>
                    <a:prstGeom prst="rect">
                      <a:avLst/>
                    </a:prstGeom>
                    <a:noFill/>
                  </pic:spPr>
                </pic:pic>
              </a:graphicData>
            </a:graphic>
          </wp:inline>
        </w:drawing>
      </w:r>
    </w:p>
    <w:p>
      <w:pPr>
        <w:pStyle w:val="Normal"/>
        <w:numPr>
          <w:ilvl w:val="0"/>
          <w:numId w:val="80"/>
        </w:numPr>
        <w:rPr/>
      </w:pPr>
      <w:r>
        <w:rPr/>
        <w:t>Inizio</w:t>
      </w:r>
    </w:p>
    <w:p>
      <w:pPr>
        <w:pStyle w:val="Normal"/>
        <w:numPr>
          <w:ilvl w:val="0"/>
          <w:numId w:val="80"/>
        </w:numPr>
        <w:ind w:hanging="349" w:left="1560"/>
        <w:rPr/>
      </w:pPr>
      <w:r>
        <w:rPr/>
        <w:t>Recupero log invocando getAccessLog</w:t>
      </w:r>
    </w:p>
    <w:p>
      <w:pPr>
        <w:pStyle w:val="Normal"/>
        <w:numPr>
          <w:ilvl w:val="0"/>
          <w:numId w:val="80"/>
        </w:numPr>
        <w:ind w:hanging="349" w:left="1560"/>
        <w:rPr/>
      </w:pPr>
      <w:r>
        <w:rPr/>
        <w:t>il SIST recupera i log degli accessi al fascicolo secondo i criteri di ricerca specificati</w:t>
      </w:r>
    </w:p>
    <w:p>
      <w:pPr>
        <w:pStyle w:val="Normal"/>
        <w:numPr>
          <w:ilvl w:val="0"/>
          <w:numId w:val="80"/>
        </w:numPr>
        <w:ind w:hanging="349" w:left="1560"/>
        <w:rPr/>
      </w:pPr>
      <w:r>
        <w:rPr/>
        <w:t>l’applicativo riporta eventuali eccezioni o mostra la lista degli accessi</w:t>
      </w:r>
    </w:p>
    <w:p>
      <w:pPr>
        <w:pStyle w:val="Normal"/>
        <w:numPr>
          <w:ilvl w:val="0"/>
          <w:numId w:val="80"/>
        </w:numPr>
        <w:ind w:hanging="349" w:left="1560"/>
        <w:rPr/>
      </w:pPr>
      <w:r>
        <w:rPr/>
        <w:t>Fine</w:t>
      </w:r>
    </w:p>
    <w:p>
      <w:pPr>
        <w:pStyle w:val="Normal"/>
        <w:rPr/>
      </w:pPr>
      <w:r>
        <w:rPr/>
      </w:r>
    </w:p>
    <w:p>
      <w:pPr>
        <w:pStyle w:val="Normal"/>
        <w:rPr/>
      </w:pPr>
      <w:r>
        <w:rPr/>
      </w:r>
    </w:p>
    <w:p>
      <w:pPr>
        <w:pStyle w:val="Heading2"/>
        <w:rPr>
          <w:lang w:val="it-IT"/>
        </w:rPr>
      </w:pPr>
      <w:bookmarkStart w:id="233" w:name="_Toc173420573"/>
      <w:r>
        <w:rPr/>
        <w:t>Scenario 1</w:t>
      </w:r>
      <w:r>
        <w:rPr>
          <w:lang w:val="it-IT"/>
        </w:rPr>
        <w:t>1</w:t>
      </w:r>
      <w:r>
        <w:rPr/>
        <w:t xml:space="preserve"> – Gestione consenso Pregresso</w:t>
      </w:r>
      <w:bookmarkEnd w:id="233"/>
    </w:p>
    <w:p>
      <w:pPr>
        <w:pStyle w:val="Normal"/>
        <w:rPr>
          <w:lang w:eastAsia="x-none"/>
        </w:rPr>
      </w:pPr>
      <w:r>
        <w:rPr>
          <w:lang w:eastAsia="x-none"/>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Oltre al consenso all’alimentazione ed alla consultazione, nel momento in cui viene reso il consenso all’alimentazione, che ha efficacia da quel giorno in avanti, è possibile richiedere all’assistito di esprimere anche il consenso al pregresso, al fine di recuperare i precedenti documenti clinici dell’assistito.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Infatti, tutti i documenti clinici dell’assistito vengono indicizzati e tale operazione è possibile anche senza l’esplicito consenso all'alimentazione rilasciato dall’assistito.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consenso al pregresso è un terzo consenso, selezionabile da:</w:t>
      </w:r>
    </w:p>
    <w:p>
      <w:pPr>
        <w:pStyle w:val="Normal"/>
        <w:ind w:left="0"/>
        <w:jc w:val="center"/>
        <w:rPr/>
      </w:pPr>
      <w:r>
        <w:rPr/>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Portale della Salute</w:t>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Edotto</w:t>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applicativo MMG/PLS</w:t>
      </w:r>
    </w:p>
    <w:p>
      <w:pPr>
        <w:pStyle w:val="Normal"/>
        <w:ind w:left="0"/>
        <w:jc w:val="both"/>
        <w:rPr/>
      </w:pPr>
      <w:r>
        <w:rPr/>
        <w:t>Il consenso al pregresso può essere impostato dall’assistito solo se questi ha impostato a ‘si’ il consenso all’alimentazione.</w:t>
      </w:r>
    </w:p>
    <w:p>
      <w:pPr>
        <w:pStyle w:val="Normal"/>
        <w:ind w:left="0"/>
        <w:rPr/>
      </w:pPr>
      <w:r>
        <w:rPr/>
        <w:t>Nel caso in cui l’assistito non abbia fornito il consenso alla alimentazione, i documenti sono indicizzati nel FSE e sono sempre oscurati all’assistito e agli operatori sanitari, indipendentemente dal consenso alla consultazione.</w:t>
      </w:r>
    </w:p>
    <w:p>
      <w:pPr>
        <w:pStyle w:val="Normal"/>
        <w:ind w:left="0"/>
        <w:rPr/>
      </w:pPr>
      <w:r>
        <w:rPr/>
        <w:t>Tutte le variazioni sui tre tipi di consenso (Alimentazione, Consultazione, Pregresso) vengono registrate nei log e presentate all’interessato nel relativo servizio.</w:t>
      </w:r>
    </w:p>
    <w:p>
      <w:pPr>
        <w:pStyle w:val="Normal"/>
        <w:ind w:left="0"/>
        <w:rPr/>
      </w:pPr>
      <w:r>
        <w:rPr/>
      </w:r>
    </w:p>
    <w:p>
      <w:pPr>
        <w:pStyle w:val="Normal"/>
        <w:spacing w:before="120" w:after="120"/>
        <w:ind w:left="0"/>
        <w:rPr/>
      </w:pPr>
      <w:r>
        <w:rPr>
          <w:i/>
        </w:rPr>
        <w:t>Applicativi</w:t>
      </w:r>
      <w:r>
        <w:rPr/>
        <w:t>: Gestionali di Cartella Clinica MMG/PLS, Edotto, Portale della Salute</w:t>
      </w:r>
    </w:p>
    <w:p>
      <w:pPr>
        <w:pStyle w:val="Normal"/>
        <w:spacing w:before="120" w:after="120"/>
        <w:ind w:left="0"/>
        <w:rPr/>
      </w:pPr>
      <w:r>
        <w:rPr>
          <w:i/>
          <w:iCs/>
        </w:rPr>
        <w:t>Attori</w:t>
      </w:r>
      <w:r>
        <w:rPr/>
        <w:t xml:space="preserve">: medico di medicina generale, pediatra di libera scelta, operatore ASL, assistito o suo tutore,  </w:t>
      </w:r>
    </w:p>
    <w:p>
      <w:pPr>
        <w:pStyle w:val="Normal"/>
        <w:spacing w:before="120" w:after="120"/>
        <w:ind w:left="0"/>
        <w:rPr>
          <w:lang w:val="en-US"/>
        </w:rPr>
      </w:pPr>
      <w:r>
        <w:rPr>
          <w:i/>
          <w:lang w:val="en-US"/>
        </w:rPr>
        <w:t>Servizi FSE</w:t>
      </w:r>
      <w:r>
        <w:rPr>
          <w:lang w:val="en-US"/>
        </w:rPr>
        <w:t>: getPreviousAgreement, setPreviousAgreement</w:t>
      </w:r>
    </w:p>
    <w:p>
      <w:pPr>
        <w:pStyle w:val="Normal"/>
        <w:rPr/>
      </w:pPr>
      <w:r>
        <w:rPr/>
      </w:r>
    </w:p>
    <w:p>
      <w:pPr>
        <w:pStyle w:val="Normal"/>
        <w:rPr/>
      </w:pPr>
      <w:r>
        <w:rPr/>
        <mc:AlternateContent>
          <mc:Choice Requires="wps">
            <w:drawing>
              <wp:anchor behindDoc="0" distT="0" distB="0" distL="635" distR="0" simplePos="0" locked="0" layoutInCell="1" allowOverlap="1" relativeHeight="52">
                <wp:simplePos x="0" y="0"/>
                <wp:positionH relativeFrom="column">
                  <wp:posOffset>635</wp:posOffset>
                </wp:positionH>
                <wp:positionV relativeFrom="paragraph">
                  <wp:posOffset>635</wp:posOffset>
                </wp:positionV>
                <wp:extent cx="635000" cy="635000"/>
                <wp:effectExtent l="635" t="0" r="0" b="0"/>
                <wp:wrapNone/>
                <wp:docPr id="42" name="_x0000_tole_rId94" hidden="1"/>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fillRef idx="0"/>
                        <a:effectRef idx="0"/>
                        <a:fontRef idx="minor"/>
                      </wps:style>
                      <wps:bodyPr/>
                    </wps:wsp>
                  </a:graphicData>
                </a:graphic>
              </wp:anchor>
            </w:drawing>
          </mc:Choice>
          <mc:Fallback>
            <w:pict>
              <v:rect id="shape_0" ID="_x0000_tole_rId9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drawing>
          <wp:inline distT="0" distB="0" distL="0" distR="0">
            <wp:extent cx="4530725" cy="3569970"/>
            <wp:effectExtent l="0" t="0" r="0" b="0"/>
            <wp:docPr id="43" name="ole_rId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descr=""/>
                    <pic:cNvPicPr>
                      <a:picLocks noChangeAspect="1" noChangeArrowheads="1"/>
                    </pic:cNvPicPr>
                  </pic:nvPicPr>
                  <pic:blipFill>
                    <a:blip r:embed="rId94"/>
                    <a:stretch>
                      <a:fillRect/>
                    </a:stretch>
                  </pic:blipFill>
                  <pic:spPr bwMode="auto">
                    <a:xfrm>
                      <a:off x="0" y="0"/>
                      <a:ext cx="4530725" cy="3569970"/>
                    </a:xfrm>
                    <a:prstGeom prst="rect">
                      <a:avLst/>
                    </a:prstGeom>
                    <a:noFill/>
                  </pic:spPr>
                </pic:pic>
              </a:graphicData>
            </a:graphic>
          </wp:inline>
        </w:drawing>
      </w:r>
    </w:p>
    <w:p>
      <w:pPr>
        <w:pStyle w:val="Normal"/>
        <w:ind w:left="1571"/>
        <w:rPr/>
      </w:pPr>
      <w:r>
        <w:rPr/>
      </w:r>
    </w:p>
    <w:p>
      <w:pPr>
        <w:pStyle w:val="Normal"/>
        <w:numPr>
          <w:ilvl w:val="0"/>
          <w:numId w:val="97"/>
        </w:numPr>
        <w:rPr/>
      </w:pPr>
      <w:r>
        <w:rPr/>
        <w:t>Inizio</w:t>
      </w:r>
    </w:p>
    <w:p>
      <w:pPr>
        <w:pStyle w:val="Normal"/>
        <w:numPr>
          <w:ilvl w:val="0"/>
          <w:numId w:val="97"/>
        </w:numPr>
        <w:rPr/>
      </w:pPr>
      <w:r>
        <w:rPr/>
        <w:t xml:space="preserve">Recupero consenso invocando </w:t>
      </w:r>
      <w:r>
        <w:rPr>
          <w:lang w:val="en-US"/>
        </w:rPr>
        <w:t>getPreviousAgreement</w:t>
      </w:r>
      <w:r>
        <w:rPr/>
        <w:t xml:space="preserve"> </w:t>
      </w:r>
    </w:p>
    <w:p>
      <w:pPr>
        <w:pStyle w:val="Normal"/>
        <w:numPr>
          <w:ilvl w:val="0"/>
          <w:numId w:val="97"/>
        </w:numPr>
        <w:rPr/>
      </w:pPr>
      <w:r>
        <w:rPr/>
        <w:t>il SIST /FSE restituisce le impostazioni correnti del consenso al pregresso oppure riporta eventuali eccezioni</w:t>
      </w:r>
    </w:p>
    <w:p>
      <w:pPr>
        <w:pStyle w:val="Normal"/>
        <w:numPr>
          <w:ilvl w:val="0"/>
          <w:numId w:val="97"/>
        </w:numPr>
        <w:rPr/>
      </w:pPr>
      <w:r>
        <w:rPr/>
        <w:t>invoca:setPreviousAgreement</w:t>
      </w:r>
    </w:p>
    <w:p>
      <w:pPr>
        <w:pStyle w:val="Normal"/>
        <w:numPr>
          <w:ilvl w:val="0"/>
          <w:numId w:val="97"/>
        </w:numPr>
        <w:rPr/>
      </w:pPr>
      <w:r>
        <w:rPr/>
        <w:t>controlla il nuovo valore impostato per il consenso al pregresso</w:t>
      </w:r>
    </w:p>
    <w:p>
      <w:pPr>
        <w:pStyle w:val="Normal"/>
        <w:numPr>
          <w:ilvl w:val="0"/>
          <w:numId w:val="97"/>
        </w:numPr>
        <w:rPr/>
      </w:pPr>
      <w:r>
        <w:rPr/>
        <w:t>se il nuovo valore al consenso pregresso =’no’ genera errore end</w:t>
      </w:r>
      <w:r>
        <w:rPr>
          <w:rStyle w:val="FootnoteReference"/>
        </w:rPr>
        <w:footnoteReference w:id="21"/>
      </w:r>
    </w:p>
    <w:p>
      <w:pPr>
        <w:pStyle w:val="Normal"/>
        <w:numPr>
          <w:ilvl w:val="0"/>
          <w:numId w:val="97"/>
        </w:numPr>
        <w:rPr>
          <w:i/>
          <w:i/>
        </w:rPr>
      </w:pPr>
      <w:r>
        <w:rPr/>
        <w:t>controlla l’impostazione del consenso all'alimentazione</w:t>
      </w:r>
    </w:p>
    <w:p>
      <w:pPr>
        <w:pStyle w:val="Normal"/>
        <w:numPr>
          <w:ilvl w:val="0"/>
          <w:numId w:val="97"/>
        </w:numPr>
        <w:rPr>
          <w:i/>
          <w:i/>
        </w:rPr>
      </w:pPr>
      <w:r>
        <w:rPr/>
        <w:t xml:space="preserve">se consenso all’alimentazione =’si’ imposta il nuovo valore del consenso al pregresso </w:t>
      </w:r>
    </w:p>
    <w:p>
      <w:pPr>
        <w:pStyle w:val="Normal"/>
        <w:numPr>
          <w:ilvl w:val="0"/>
          <w:numId w:val="97"/>
        </w:numPr>
        <w:rPr>
          <w:i/>
          <w:i/>
          <w:iCs/>
        </w:rPr>
      </w:pPr>
      <w:r>
        <w:rPr/>
        <w:t xml:space="preserve">Se consenso all’alimentazione è = ‘no’ oppure </w:t>
      </w:r>
      <w:r>
        <w:rPr>
          <w:i/>
          <w:iCs/>
        </w:rPr>
        <w:t>non impostato</w:t>
      </w:r>
      <w:r>
        <w:rPr/>
        <w:t xml:space="preserve"> genera l'errore di sistema </w:t>
      </w:r>
      <w:r>
        <w:rPr>
          <w:rFonts w:eastAsia="Calibri"/>
          <w:i/>
          <w:iCs/>
          <w:lang w:eastAsia="en-US"/>
        </w:rPr>
        <w:t>FSE-00237: Il consenso al pregresso non puo' essere espresso senza il consenso all'alimentazione</w:t>
      </w:r>
    </w:p>
    <w:p>
      <w:pPr>
        <w:pStyle w:val="Normal"/>
        <w:numPr>
          <w:ilvl w:val="0"/>
          <w:numId w:val="97"/>
        </w:numPr>
        <w:rPr/>
      </w:pPr>
      <w:r>
        <w:rPr/>
        <w:t>l’applicativo riporta eventuali eccezioni o visualizza l’esito dell’operazione</w:t>
      </w:r>
    </w:p>
    <w:p>
      <w:pPr>
        <w:pStyle w:val="Normal"/>
        <w:numPr>
          <w:ilvl w:val="0"/>
          <w:numId w:val="97"/>
        </w:numPr>
        <w:rPr/>
      </w:pPr>
      <w:r>
        <w:rPr/>
        <w:t>Fine</w:t>
      </w:r>
    </w:p>
    <w:p>
      <w:pPr>
        <w:pStyle w:val="Normal"/>
        <w:ind w:left="1571"/>
        <w:rPr/>
      </w:pPr>
      <w:r>
        <w:rPr/>
      </w:r>
    </w:p>
    <w:p>
      <w:pPr>
        <w:pStyle w:val="Normal"/>
        <w:rPr/>
      </w:pPr>
      <w:r>
        <w:rPr>
          <w:b/>
          <w:bCs/>
        </w:rPr>
        <w:t>Nota: Non</w:t>
      </w:r>
      <w:r>
        <w:rPr/>
        <w:t xml:space="preserve"> si può revocare tramite </w:t>
      </w:r>
      <w:r>
        <w:rPr>
          <w:i/>
          <w:iCs/>
        </w:rPr>
        <w:t xml:space="preserve">setPreviousAgreement </w:t>
      </w:r>
      <w:r>
        <w:rPr/>
        <w:t xml:space="preserve"> il consenso al pregresso, esso viene revocato in automatico revocando il consenso all'alimentazione</w:t>
      </w:r>
    </w:p>
    <w:p>
      <w:pPr>
        <w:pStyle w:val="Normal"/>
        <w:rPr/>
      </w:pPr>
      <w:r>
        <w:rPr/>
      </w:r>
    </w:p>
    <w:p>
      <w:pPr>
        <w:pStyle w:val="Normal"/>
        <w:rPr/>
      </w:pPr>
      <w:r>
        <w:rPr/>
      </w:r>
    </w:p>
    <w:p>
      <w:pPr>
        <w:pStyle w:val="Heading2"/>
        <w:keepLines w:val="false"/>
        <w:numPr>
          <w:ilvl w:val="1"/>
          <w:numId w:val="101"/>
        </w:numPr>
        <w:spacing w:lineRule="auto" w:line="240"/>
        <w:ind w:hanging="0" w:left="0"/>
        <w:rPr>
          <w:lang w:val="it-IT"/>
        </w:rPr>
      </w:pPr>
      <w:bookmarkStart w:id="234" w:name="_Toc173420574"/>
      <w:r>
        <w:rPr>
          <w:lang w:val="it-IT"/>
        </w:rPr>
        <w:t>11.12</w:t>
        <w:tab/>
      </w:r>
      <w:r>
        <w:rPr/>
        <w:t>Scenario 12 – Gestione informativa privacy</w:t>
      </w:r>
      <w:bookmarkEnd w:id="234"/>
    </w:p>
    <w:p>
      <w:pPr>
        <w:pStyle w:val="Normal"/>
        <w:rPr>
          <w:lang w:eastAsia="x-none"/>
        </w:rPr>
      </w:pPr>
      <w:r>
        <w:rPr>
          <w:lang w:eastAsia="x-none"/>
        </w:rPr>
      </w:r>
    </w:p>
    <w:p>
      <w:pPr>
        <w:pStyle w:val="Normal"/>
        <w:spacing w:before="120" w:after="120"/>
        <w:jc w:val="both"/>
        <w:rPr/>
      </w:pPr>
      <w:r>
        <w:rPr>
          <w:i/>
        </w:rPr>
        <w:t>Applicativi</w:t>
      </w:r>
      <w:r>
        <w:rPr/>
        <w:t>: Gestionali di Cartella Clinica MMG/PLS, Edotto, Portale della Salute</w:t>
      </w:r>
    </w:p>
    <w:p>
      <w:pPr>
        <w:pStyle w:val="Normal"/>
        <w:spacing w:before="120" w:after="120"/>
        <w:jc w:val="both"/>
        <w:rPr/>
      </w:pPr>
      <w:r>
        <w:rPr>
          <w:i/>
        </w:rPr>
        <w:t>Attori</w:t>
      </w:r>
      <w:r>
        <w:rPr/>
        <w:t>:assistito o suo tutore,  medico di medicina generale, pediatra di libera scelta, operatore ASL</w:t>
      </w:r>
    </w:p>
    <w:p>
      <w:pPr>
        <w:pStyle w:val="Normal"/>
        <w:spacing w:before="120" w:after="120"/>
        <w:jc w:val="both"/>
        <w:rPr/>
      </w:pPr>
      <w:r>
        <w:rPr>
          <w:i/>
        </w:rPr>
        <w:t>Servizi FSE</w:t>
      </w:r>
      <w:r>
        <w:rPr/>
        <w:t>: getAgreements, setDisclosure</w:t>
      </w:r>
    </w:p>
    <w:p>
      <w:pPr>
        <w:pStyle w:val="Normal"/>
        <w:jc w:val="both"/>
        <w:rPr/>
      </w:pPr>
      <w:r>
        <w:rPr/>
        <w:t xml:space="preserve">Questo scenario si applica al Portale Regionale della salute, Edotto e alle cartelle cliniche MMG/PLS per la gestione dell’accettazione, da parte di un assistito, dell’informativa privacy relativa al FSE. </w:t>
      </w:r>
    </w:p>
    <w:p>
      <w:pPr>
        <w:pStyle w:val="Normal"/>
        <w:jc w:val="both"/>
        <w:rPr/>
      </w:pPr>
      <w:r>
        <w:rPr/>
        <w:t>Nel caso delle cartelle cliniche la gestione dell’informativa può essere demandata al medico curante con delega dell’assistito e in presenza dell’assistito stesso.</w:t>
      </w:r>
    </w:p>
    <w:p>
      <w:pPr>
        <w:pStyle w:val="Normal"/>
        <w:jc w:val="both"/>
        <w:rPr/>
      </w:pPr>
      <w:r>
        <w:rPr/>
        <w:t>Nel caso di Edotto la gestione dell’informativa può essere demandata ad un operatore ASL con delega dell’assistito e in presenza dell’assistito stesso.</w:t>
      </w:r>
    </w:p>
    <w:p>
      <w:pPr>
        <w:pStyle w:val="Normal"/>
        <w:ind w:left="-426"/>
        <w:rPr/>
      </w:pPr>
      <w:r>
        <w:rPr/>
      </w:r>
    </w:p>
    <w:p>
      <w:pPr>
        <w:pStyle w:val="Normal"/>
        <w:ind w:left="-426"/>
        <w:jc w:val="center"/>
        <w:rPr/>
      </w:pPr>
      <w:r>
        <w:rPr/>
        <w:pict>
          <v:shape id="shape_0" coordsize="2,1" path="m0,0l0,0xm0,0l0,0xm0,0l0,0l0,0l1,0l1,0l1,0l1,0l0,0xe" stroked="f" o:allowincell="f" style="position:absolute;margin-left:0.05pt;margin-top:0pt;width:0pt;height:0pt;mso-wrap-style:none;v-text-anchor:middle">
            <v:fill o:detectmouseclick="t" on="false"/>
            <v:stroke color="#3465a4" joinstyle="round" endcap="flat"/>
            <w10:wrap type="none"/>
          </v:shape>
        </w:pict>
        <w:drawing>
          <wp:inline distT="0" distB="0" distL="0" distR="0">
            <wp:extent cx="5193030" cy="3722370"/>
            <wp:effectExtent l="0" t="0" r="0" b="0"/>
            <wp:docPr id="45" name="ole_rId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descr=""/>
                    <pic:cNvPicPr>
                      <a:picLocks noChangeAspect="1" noChangeArrowheads="1"/>
                    </pic:cNvPicPr>
                  </pic:nvPicPr>
                  <pic:blipFill>
                    <a:blip r:embed="rId95"/>
                    <a:stretch>
                      <a:fillRect/>
                    </a:stretch>
                  </pic:blipFill>
                  <pic:spPr bwMode="auto">
                    <a:xfrm>
                      <a:off x="0" y="0"/>
                      <a:ext cx="5193030" cy="3722370"/>
                    </a:xfrm>
                    <a:prstGeom prst="rect">
                      <a:avLst/>
                    </a:prstGeom>
                    <a:noFill/>
                  </pic:spPr>
                </pic:pic>
              </a:graphicData>
            </a:graphic>
          </wp:inline>
        </w:drawing>
      </w:r>
    </w:p>
    <w:p>
      <w:pPr>
        <w:pStyle w:val="ListParagraph"/>
        <w:ind w:left="1418"/>
        <w:rPr>
          <w:rFonts w:ascii="Times New Roman" w:hAnsi="Times New Roman"/>
          <w:sz w:val="20"/>
          <w:szCs w:val="20"/>
          <w:lang w:val="en-US"/>
        </w:rPr>
      </w:pPr>
      <w:r>
        <w:rPr>
          <w:rFonts w:ascii="Times New Roman" w:hAnsi="Times New Roman"/>
          <w:sz w:val="20"/>
          <w:szCs w:val="20"/>
          <w:lang w:val="en-US"/>
        </w:rPr>
      </w:r>
    </w:p>
    <w:p>
      <w:pPr>
        <w:pStyle w:val="Normal"/>
        <w:keepLines w:val="false"/>
        <w:numPr>
          <w:ilvl w:val="0"/>
          <w:numId w:val="102"/>
        </w:numPr>
        <w:spacing w:lineRule="auto" w:line="240" w:before="0" w:after="0"/>
        <w:jc w:val="both"/>
        <w:rPr/>
      </w:pPr>
      <w:r>
        <w:rPr/>
        <w:t>Inizio</w:t>
      </w:r>
    </w:p>
    <w:p>
      <w:pPr>
        <w:pStyle w:val="Normal"/>
        <w:keepLines w:val="false"/>
        <w:numPr>
          <w:ilvl w:val="0"/>
          <w:numId w:val="102"/>
        </w:numPr>
        <w:spacing w:lineRule="auto" w:line="240" w:before="0" w:after="0"/>
        <w:jc w:val="both"/>
        <w:rPr/>
      </w:pPr>
      <w:r>
        <w:rPr/>
        <w:t>Recupero stato accettazione informativa invocando getAgreements</w:t>
      </w:r>
    </w:p>
    <w:p>
      <w:pPr>
        <w:pStyle w:val="Normal"/>
        <w:keepLines w:val="false"/>
        <w:numPr>
          <w:ilvl w:val="0"/>
          <w:numId w:val="102"/>
        </w:numPr>
        <w:spacing w:lineRule="auto" w:line="240" w:before="0" w:after="0"/>
        <w:jc w:val="both"/>
        <w:rPr/>
      </w:pPr>
      <w:r>
        <w:rPr/>
        <w:t>il SIST restituisce lo stato attuale dell’accettazione dell’informativa privacy più recente</w:t>
      </w:r>
    </w:p>
    <w:p>
      <w:pPr>
        <w:pStyle w:val="Normal"/>
        <w:keepLines w:val="false"/>
        <w:numPr>
          <w:ilvl w:val="0"/>
          <w:numId w:val="102"/>
        </w:numPr>
        <w:spacing w:lineRule="auto" w:line="240" w:before="0" w:after="0"/>
        <w:jc w:val="both"/>
        <w:rPr/>
      </w:pPr>
      <w:r>
        <w:rPr/>
        <w:t>l’applicativo riporta eventuali eccezioni o visualizza lo stato di accettazione informativa</w:t>
      </w:r>
    </w:p>
    <w:p>
      <w:pPr>
        <w:pStyle w:val="Normal"/>
        <w:keepLines w:val="false"/>
        <w:numPr>
          <w:ilvl w:val="0"/>
          <w:numId w:val="102"/>
        </w:numPr>
        <w:spacing w:lineRule="auto" w:line="240" w:before="0" w:after="0"/>
        <w:jc w:val="both"/>
        <w:rPr/>
      </w:pPr>
      <w:r>
        <w:rPr/>
        <w:t>Impostare l’accettazione dell’informativa</w:t>
      </w:r>
    </w:p>
    <w:p>
      <w:pPr>
        <w:pStyle w:val="Normal"/>
        <w:keepLines w:val="false"/>
        <w:numPr>
          <w:ilvl w:val="0"/>
          <w:numId w:val="102"/>
        </w:numPr>
        <w:spacing w:lineRule="auto" w:line="240" w:before="0" w:after="0"/>
        <w:jc w:val="both"/>
        <w:rPr/>
      </w:pPr>
      <w:r>
        <w:rPr/>
        <w:t>invoca:setDisclosure</w:t>
      </w:r>
    </w:p>
    <w:p>
      <w:pPr>
        <w:pStyle w:val="Normal"/>
        <w:keepLines w:val="false"/>
        <w:numPr>
          <w:ilvl w:val="0"/>
          <w:numId w:val="102"/>
        </w:numPr>
        <w:spacing w:lineRule="auto" w:line="240" w:before="0" w:after="0"/>
        <w:jc w:val="both"/>
        <w:rPr/>
      </w:pPr>
      <w:r>
        <w:rPr/>
        <w:t>l’applicativo riporta eventuali eccezioni o visualizza l’esito dell’operazione</w:t>
      </w:r>
    </w:p>
    <w:p>
      <w:pPr>
        <w:pStyle w:val="Normal"/>
        <w:keepLines w:val="false"/>
        <w:numPr>
          <w:ilvl w:val="0"/>
          <w:numId w:val="102"/>
        </w:numPr>
        <w:spacing w:lineRule="auto" w:line="240" w:before="0" w:after="0"/>
        <w:jc w:val="both"/>
        <w:rPr/>
      </w:pPr>
      <w:r>
        <w:rPr/>
        <w:t>Fine</w:t>
      </w:r>
    </w:p>
    <w:p>
      <w:pPr>
        <w:pStyle w:val="Normal"/>
        <w:rPr/>
      </w:pPr>
      <w:r>
        <w:rPr/>
      </w:r>
    </w:p>
    <w:p>
      <w:pPr>
        <w:pStyle w:val="Normal"/>
        <w:rPr/>
      </w:pPr>
      <w:r>
        <w:rPr>
          <w:b/>
        </w:rPr>
        <w:t>Nota:</w:t>
      </w:r>
      <w:r>
        <w:rPr/>
        <w:t xml:space="preserve">  Non si può revocare l’accettazione dell’informativa tramite setDisclosure.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1"/>
        <w:jc w:val="both"/>
        <w:rPr/>
      </w:pPr>
      <w:bookmarkStart w:id="235" w:name="_Toc173420575"/>
      <w:bookmarkStart w:id="236" w:name="_Toc438993563"/>
      <w:bookmarkStart w:id="237" w:name="_Ref409696043"/>
      <w:r>
        <w:rPr/>
        <w:t>Appendice</w:t>
      </w:r>
      <w:r>
        <w:rPr>
          <w:lang w:val="it-IT"/>
        </w:rPr>
        <w:t xml:space="preserve"> C</w:t>
      </w:r>
      <w:r>
        <w:rPr/>
        <w:t xml:space="preserve"> – Elenco delle anomalie e messaggi di errore</w:t>
      </w:r>
      <w:bookmarkEnd w:id="172"/>
      <w:bookmarkEnd w:id="173"/>
      <w:bookmarkEnd w:id="235"/>
      <w:bookmarkEnd w:id="236"/>
      <w:bookmarkEnd w:id="237"/>
    </w:p>
    <w:p>
      <w:pPr>
        <w:pStyle w:val="Normal"/>
        <w:rPr/>
      </w:pPr>
      <w:r>
        <w:rPr/>
        <w:t>Si riportano di seguito le possibili anomalie restituite dai servizi che effettuano controlli.</w:t>
      </w:r>
    </w:p>
    <w:p>
      <w:pPr>
        <w:pStyle w:val="Normal"/>
        <w:rPr/>
      </w:pPr>
      <w:r>
        <w:rPr/>
        <w:t>Per quanto riguarda la messaggistica di errore, i messaggi di errore, comprensivi di codice e descrizione, sono specificati, per ogni servizio, nel Javadoc allegato al presente documento.</w:t>
      </w:r>
    </w:p>
    <w:p>
      <w:pPr>
        <w:pStyle w:val="Heading2"/>
        <w:rPr/>
      </w:pPr>
      <w:bookmarkStart w:id="238" w:name="_Toc173420576"/>
      <w:bookmarkStart w:id="239" w:name="_Toc438993564"/>
      <w:bookmarkStart w:id="240" w:name="_Toc216860355"/>
      <w:r>
        <w:rPr/>
        <w:t>Ciclo di Vita Prescrittivo</w:t>
      </w:r>
      <w:bookmarkEnd w:id="238"/>
      <w:bookmarkEnd w:id="239"/>
      <w:bookmarkEnd w:id="240"/>
    </w:p>
    <w:p>
      <w:pPr>
        <w:pStyle w:val="Normal"/>
        <w:rPr/>
      </w:pPr>
      <w:r>
        <w:rPr/>
        <w:t>Si riportano le anomalie codificate che possono verificarsi nell’esecuzione dei servizi che realizzano il ciclo prescrittivo.</w:t>
      </w:r>
    </w:p>
    <w:p>
      <w:pPr>
        <w:pStyle w:val="Normal"/>
        <w:rPr/>
      </w:pPr>
      <w:r>
        <w:rPr/>
        <w:t>I web services interessati sono:</w:t>
      </w:r>
    </w:p>
    <w:p>
      <w:pPr>
        <w:pStyle w:val="Normal"/>
        <w:numPr>
          <w:ilvl w:val="0"/>
          <w:numId w:val="6"/>
        </w:numPr>
        <w:rPr/>
      </w:pPr>
      <w:r>
        <w:rPr/>
        <w:t>chkPrescrizione</w:t>
      </w:r>
    </w:p>
    <w:p>
      <w:pPr>
        <w:pStyle w:val="Normal"/>
        <w:rPr/>
      </w:pPr>
      <w:r>
        <w:rPr/>
        <w:t>Ogni anomalia è caratterizzata da un codice e può essere bloccante o meno, in base alla tipologia di prescrizione (farmaceutica, specialistica o di ricovero).</w:t>
      </w:r>
    </w:p>
    <w:p>
      <w:pPr>
        <w:pStyle w:val="Normal"/>
        <w:rPr/>
      </w:pPr>
      <w:r>
        <w:rPr/>
        <w:t>L’elenco delle anomalie è riportato nella seguente tabella. Per ogni tipologia di prescrizione (</w:t>
      </w:r>
      <w:r>
        <w:rPr>
          <w:b/>
        </w:rPr>
        <w:t>Farm</w:t>
      </w:r>
      <w:r>
        <w:rPr/>
        <w:t xml:space="preserve">-aceutica, </w:t>
      </w:r>
      <w:r>
        <w:rPr>
          <w:b/>
        </w:rPr>
        <w:t>Spec</w:t>
      </w:r>
      <w:r>
        <w:rPr/>
        <w:t xml:space="preserve">-ialistica, </w:t>
      </w:r>
      <w:r>
        <w:rPr>
          <w:b/>
        </w:rPr>
        <w:t>Rico</w:t>
      </w:r>
      <w:r>
        <w:rPr/>
        <w:t>-vero) è riportato ‘C’ (Critical) se l’anomalia è bloccante, ‘W’ (Warning) se l’anomalia non è bloccante.</w:t>
      </w:r>
    </w:p>
    <w:p>
      <w:pPr>
        <w:pStyle w:val="Normal"/>
        <w:rPr/>
      </w:pPr>
      <w:r>
        <w:rPr/>
      </w:r>
    </w:p>
    <w:tbl>
      <w:tblPr>
        <w:tblW w:w="8655" w:type="dxa"/>
        <w:jc w:val="left"/>
        <w:tblInd w:w="0" w:type="dxa"/>
        <w:tblLayout w:type="fixed"/>
        <w:tblCellMar>
          <w:top w:w="15" w:type="dxa"/>
          <w:left w:w="15" w:type="dxa"/>
          <w:bottom w:w="0" w:type="dxa"/>
          <w:right w:w="15" w:type="dxa"/>
        </w:tblCellMar>
        <w:tblLook w:firstRow="0" w:noVBand="0" w:lastRow="0" w:firstColumn="0" w:lastColumn="0" w:noHBand="0" w:val="0000"/>
      </w:tblPr>
      <w:tblGrid>
        <w:gridCol w:w="733"/>
        <w:gridCol w:w="5579"/>
        <w:gridCol w:w="721"/>
        <w:gridCol w:w="721"/>
        <w:gridCol w:w="901"/>
      </w:tblGrid>
      <w:tr>
        <w:trPr>
          <w:trHeight w:val="399"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Rico</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non 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possibile effettuare l’erogazione perchè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prescritti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prescrivibile con l’esezione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prestazioni erogate non corrispondente a quello delle prest.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erogati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La prescizione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lang w:val="en-GB"/>
              </w:rPr>
            </w:pPr>
            <w:r>
              <w:rPr>
                <w:rFonts w:cs="Arial" w:ascii="Arial" w:hAnsi="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bookmarkStart w:id="241" w:name="_Toc216860356"/>
            <w:bookmarkEnd w:id="241"/>
            <w:r>
              <w:rPr>
                <w:rFonts w:cs="Arial" w:ascii="Arial" w:hAnsi="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‘0’ per codice sostitituzione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‘1’ o ‘2’ per codice sostitituzione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bl>
    <w:p>
      <w:pPr>
        <w:pStyle w:val="Heading2"/>
        <w:rPr/>
      </w:pPr>
      <w:bookmarkStart w:id="242" w:name="_Toc173420577"/>
      <w:bookmarkStart w:id="243" w:name="_Toc438993565"/>
      <w:bookmarkStart w:id="244" w:name="_Ref408912702"/>
      <w:bookmarkStart w:id="245" w:name="_Toc251663141"/>
      <w:bookmarkStart w:id="246" w:name="_Toc251659767"/>
      <w:bookmarkEnd w:id="245"/>
      <w:bookmarkEnd w:id="246"/>
      <w:r>
        <w:rPr/>
        <w:t>Fascicolo Sanitario Elettronico</w:t>
      </w:r>
      <w:bookmarkEnd w:id="242"/>
      <w:bookmarkEnd w:id="243"/>
      <w:bookmarkEnd w:id="244"/>
    </w:p>
    <w:p>
      <w:pPr>
        <w:pStyle w:val="Normal"/>
        <w:rPr/>
      </w:pPr>
      <w:r>
        <w:rPr/>
        <w:t>Si riportano le anomalie codificate che possono verificarsi nell’esecuzione dei servizi delle componenti SIST del FSE.</w:t>
      </w:r>
    </w:p>
    <w:p>
      <w:pPr>
        <w:pStyle w:val="Normal"/>
        <w:rPr/>
      </w:pPr>
      <w:r>
        <w:rPr/>
        <w:t>I web services interessati sono:</w:t>
      </w:r>
    </w:p>
    <w:p>
      <w:pPr>
        <w:pStyle w:val="Normal"/>
        <w:numPr>
          <w:ilvl w:val="0"/>
          <w:numId w:val="6"/>
        </w:numPr>
        <w:rPr/>
      </w:pPr>
      <w:r>
        <w:rPr/>
        <w:t>addDocument</w:t>
      </w:r>
    </w:p>
    <w:p>
      <w:pPr>
        <w:pStyle w:val="Normal"/>
        <w:numPr>
          <w:ilvl w:val="0"/>
          <w:numId w:val="6"/>
        </w:numPr>
        <w:rPr/>
      </w:pPr>
      <w:r>
        <w:rPr/>
        <w:t>updateDocument</w:t>
      </w:r>
    </w:p>
    <w:p>
      <w:pPr>
        <w:pStyle w:val="Normal"/>
        <w:numPr>
          <w:ilvl w:val="0"/>
          <w:numId w:val="6"/>
        </w:numPr>
        <w:rPr/>
      </w:pPr>
      <w:r>
        <w:rPr/>
        <w:t>queryDocument</w:t>
      </w:r>
    </w:p>
    <w:p>
      <w:pPr>
        <w:pStyle w:val="Normal"/>
        <w:numPr>
          <w:ilvl w:val="0"/>
          <w:numId w:val="6"/>
        </w:numPr>
        <w:rPr/>
      </w:pPr>
      <w:r>
        <w:rPr/>
        <w:t>retrieveDocument</w:t>
      </w:r>
    </w:p>
    <w:p>
      <w:pPr>
        <w:pStyle w:val="Normal"/>
        <w:numPr>
          <w:ilvl w:val="0"/>
          <w:numId w:val="6"/>
        </w:numPr>
        <w:rPr/>
      </w:pPr>
      <w:r>
        <w:rPr/>
        <w:t>setWritingAgreement</w:t>
      </w:r>
    </w:p>
    <w:p>
      <w:pPr>
        <w:pStyle w:val="Normal"/>
        <w:numPr>
          <w:ilvl w:val="0"/>
          <w:numId w:val="6"/>
        </w:numPr>
        <w:rPr/>
      </w:pPr>
      <w:r>
        <w:rPr/>
        <w:t>getWritingAgreement</w:t>
      </w:r>
    </w:p>
    <w:p>
      <w:pPr>
        <w:pStyle w:val="Normal"/>
        <w:numPr>
          <w:ilvl w:val="0"/>
          <w:numId w:val="6"/>
        </w:numPr>
        <w:rPr/>
      </w:pPr>
      <w:r>
        <w:rPr/>
        <w:t>setReadingAgreement</w:t>
      </w:r>
    </w:p>
    <w:p>
      <w:pPr>
        <w:pStyle w:val="Normal"/>
        <w:numPr>
          <w:ilvl w:val="0"/>
          <w:numId w:val="6"/>
        </w:numPr>
        <w:rPr/>
      </w:pPr>
      <w:r>
        <w:rPr/>
        <w:t>getReadingAgreement</w:t>
      </w:r>
    </w:p>
    <w:p>
      <w:pPr>
        <w:pStyle w:val="Normal"/>
        <w:numPr>
          <w:ilvl w:val="0"/>
          <w:numId w:val="6"/>
        </w:numPr>
        <w:rPr/>
      </w:pPr>
      <w:r>
        <w:rPr/>
        <w:t>blindDocument</w:t>
      </w:r>
    </w:p>
    <w:p>
      <w:pPr>
        <w:pStyle w:val="Normal"/>
        <w:numPr>
          <w:ilvl w:val="0"/>
          <w:numId w:val="6"/>
        </w:numPr>
        <w:rPr/>
      </w:pPr>
      <w:r>
        <w:rPr/>
        <w:t>setAccessPolicies</w:t>
      </w:r>
    </w:p>
    <w:p>
      <w:pPr>
        <w:pStyle w:val="Normal"/>
        <w:numPr>
          <w:ilvl w:val="0"/>
          <w:numId w:val="6"/>
        </w:numPr>
        <w:rPr/>
      </w:pPr>
      <w:r>
        <w:rPr/>
        <w:t>getAccessPolicies</w:t>
      </w:r>
    </w:p>
    <w:p>
      <w:pPr>
        <w:pStyle w:val="Normal"/>
        <w:numPr>
          <w:ilvl w:val="0"/>
          <w:numId w:val="6"/>
        </w:numPr>
        <w:rPr/>
      </w:pPr>
      <w:r>
        <w:rPr/>
        <w:t>getAccessLog</w:t>
      </w:r>
    </w:p>
    <w:p>
      <w:pPr>
        <w:pStyle w:val="Normal"/>
        <w:numPr>
          <w:ilvl w:val="0"/>
          <w:numId w:val="6"/>
        </w:numPr>
        <w:rPr/>
      </w:pPr>
      <w:r>
        <w:rPr/>
        <w:t>getPreviousAgreement</w:t>
      </w:r>
    </w:p>
    <w:p>
      <w:pPr>
        <w:pStyle w:val="Normal"/>
        <w:numPr>
          <w:ilvl w:val="0"/>
          <w:numId w:val="6"/>
        </w:numPr>
        <w:rPr/>
      </w:pPr>
      <w:r>
        <w:rPr/>
        <w:t>setPreviousAgreement</w:t>
      </w:r>
    </w:p>
    <w:p>
      <w:pPr>
        <w:pStyle w:val="Normal"/>
        <w:numPr>
          <w:ilvl w:val="0"/>
          <w:numId w:val="6"/>
        </w:numPr>
        <w:rPr/>
      </w:pPr>
      <w:r>
        <w:rPr/>
        <w:t>getAgreements</w:t>
      </w:r>
    </w:p>
    <w:p>
      <w:pPr>
        <w:pStyle w:val="Normal"/>
        <w:numPr>
          <w:ilvl w:val="0"/>
          <w:numId w:val="6"/>
        </w:numPr>
        <w:rPr/>
      </w:pPr>
      <w:r>
        <w:rPr/>
        <w:t>setDisclosure</w:t>
      </w:r>
    </w:p>
    <w:p>
      <w:pPr>
        <w:pStyle w:val="Normal"/>
        <w:rPr/>
      </w:pPr>
      <w:r>
        <w:rPr/>
      </w:r>
    </w:p>
    <w:p>
      <w:pPr>
        <w:pStyle w:val="Normal"/>
        <w:rPr/>
      </w:pPr>
      <w:r>
        <w:rPr/>
        <w:t>Si precisa che, in presenza di uno dei messaggi di errore generico (codice errore FSE-00000) riportati nell’elenco seguente, è consigliabile ripetere la chiamata al servizio poichè trattasi di un errore temporaneo non dovuto ad una errata composizione della chiamata.</w:t>
      </w:r>
    </w:p>
    <w:p>
      <w:pPr>
        <w:pStyle w:val="Normal"/>
        <w:numPr>
          <w:ilvl w:val="0"/>
          <w:numId w:val="103"/>
        </w:numPr>
        <w:ind w:hanging="425" w:left="1276"/>
        <w:rPr/>
      </w:pPr>
      <w:r>
        <w:rPr/>
        <w:t xml:space="preserve">Errore generico: 000001 </w:t>
      </w:r>
    </w:p>
    <w:p>
      <w:pPr>
        <w:pStyle w:val="Normal"/>
        <w:numPr>
          <w:ilvl w:val="0"/>
          <w:numId w:val="103"/>
        </w:numPr>
        <w:ind w:hanging="425" w:left="1276"/>
        <w:rPr/>
      </w:pPr>
      <w:r>
        <w:rPr/>
        <w:t>Errore generico: Registry error: 1709 - Null</w:t>
      </w:r>
    </w:p>
    <w:p>
      <w:pPr>
        <w:pStyle w:val="Normal"/>
        <w:numPr>
          <w:ilvl w:val="0"/>
          <w:numId w:val="103"/>
        </w:numPr>
        <w:ind w:hanging="425" w:left="1276"/>
        <w:rPr>
          <w:lang w:val="en-US"/>
        </w:rPr>
      </w:pPr>
      <w:r>
        <w:rPr>
          <w:lang w:val="en-US"/>
        </w:rPr>
        <w:t>Errore generico: Could not send Message.</w:t>
      </w:r>
    </w:p>
    <w:p>
      <w:pPr>
        <w:pStyle w:val="Normal"/>
        <w:numPr>
          <w:ilvl w:val="0"/>
          <w:numId w:val="103"/>
        </w:numPr>
        <w:ind w:hanging="425" w:left="1276"/>
        <w:rPr>
          <w:lang w:val="en-US"/>
        </w:rPr>
      </w:pPr>
      <w:r>
        <w:rPr>
          <w:lang w:val="en-US"/>
        </w:rPr>
        <w:t>Errore generico: registerEntryResponse is null</w:t>
      </w:r>
    </w:p>
    <w:p>
      <w:pPr>
        <w:pStyle w:val="Normal"/>
        <w:numPr>
          <w:ilvl w:val="0"/>
          <w:numId w:val="103"/>
        </w:numPr>
        <w:ind w:hanging="425" w:left="1276"/>
        <w:rPr>
          <w:lang w:val="en-US"/>
        </w:rPr>
      </w:pPr>
      <w:r>
        <w:rPr>
          <w:lang w:val="en-US"/>
        </w:rPr>
        <w:t>Errore generico: Error while committing the transaction</w:t>
      </w:r>
    </w:p>
    <w:p>
      <w:pPr>
        <w:pStyle w:val="Normal"/>
        <w:numPr>
          <w:ilvl w:val="0"/>
          <w:numId w:val="103"/>
        </w:numPr>
        <w:ind w:hanging="425" w:left="1276"/>
        <w:rPr>
          <w:lang w:val="en-US"/>
        </w:rPr>
      </w:pPr>
      <w:r>
        <w:rPr>
          <w:lang w:val="en-US"/>
        </w:rPr>
        <w:t>Errore generico: Invalid message format</w:t>
      </w:r>
    </w:p>
    <w:p>
      <w:pPr>
        <w:pStyle w:val="Normal"/>
        <w:numPr>
          <w:ilvl w:val="0"/>
          <w:numId w:val="103"/>
        </w:numPr>
        <w:ind w:hanging="425" w:left="1276"/>
        <w:rPr>
          <w:lang w:val="en-US"/>
        </w:rPr>
      </w:pPr>
      <w:r>
        <w:rPr>
          <w:lang w:val="en-US"/>
        </w:rPr>
        <w:t>Errore generico: repository returned documentIdentifier is null!</w:t>
      </w:r>
    </w:p>
    <w:p>
      <w:pPr>
        <w:pStyle w:val="Normal"/>
        <w:numPr>
          <w:ilvl w:val="0"/>
          <w:numId w:val="103"/>
        </w:numPr>
        <w:ind w:hanging="425" w:left="1276"/>
        <w:rPr>
          <w:lang w:val="en-US"/>
        </w:rPr>
      </w:pPr>
      <w:r>
        <w:rPr>
          <w:lang w:val="en-US"/>
        </w:rPr>
        <w:t>Error while creating PDP: Error while retrieving policies by PAP: unable to create new native thread - Error in PDP while make decision</w:t>
      </w:r>
    </w:p>
    <w:p>
      <w:pPr>
        <w:pStyle w:val="Normal"/>
        <w:numPr>
          <w:ilvl w:val="0"/>
          <w:numId w:val="103"/>
        </w:numPr>
        <w:ind w:hanging="425" w:left="1276"/>
        <w:rPr>
          <w:lang w:val="en-US"/>
        </w:rPr>
      </w:pPr>
      <w:r>
        <w:rPr>
          <w:lang w:val="en-US"/>
        </w:rPr>
        <w:t>Errore generico: unable to create new native thread</w:t>
      </w:r>
    </w:p>
    <w:p>
      <w:pPr>
        <w:pStyle w:val="Normal"/>
        <w:numPr>
          <w:ilvl w:val="0"/>
          <w:numId w:val="103"/>
        </w:numPr>
        <w:ind w:hanging="425" w:left="1276"/>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pPr>
        <w:pStyle w:val="Normal"/>
        <w:rPr>
          <w:lang w:val="en-US"/>
        </w:rPr>
      </w:pPr>
      <w:r>
        <w:rPr>
          <w:lang w:val="en-US"/>
        </w:rPr>
      </w:r>
    </w:p>
    <w:p>
      <w:pPr>
        <w:pStyle w:val="Normal"/>
        <w:rPr>
          <w:lang w:val="en-US"/>
        </w:rPr>
      </w:pPr>
      <w:r>
        <w:rPr>
          <w:lang w:val="en-US"/>
        </w:rPr>
      </w:r>
    </w:p>
    <w:p>
      <w:pPr>
        <w:pStyle w:val="Normal"/>
        <w:rPr/>
      </w:pPr>
      <w:r>
        <w:rPr/>
        <w:t>Ogni anomalia è caratterizzata da un codice e una descrizione.</w:t>
      </w:r>
    </w:p>
    <w:p>
      <w:pPr>
        <w:pStyle w:val="Normal"/>
        <w:ind w:left="851" w:right="708"/>
        <w:rPr>
          <w:b/>
        </w:rPr>
      </w:pPr>
      <w:r>
        <w:rPr>
          <w:b/>
        </w:rPr>
        <w:t>Messaggi di errore comuni</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93"/>
        <w:gridCol w:w="6866"/>
      </w:tblGrid>
      <w:tr>
        <w:trPr/>
        <w:tc>
          <w:tcPr>
            <w:tcW w:w="159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generico: &lt;error_message&gt;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e/o struttura operatore non valido</w:t>
            </w:r>
          </w:p>
        </w:tc>
      </w:tr>
      <w:tr>
        <w:trPr>
          <w:trHeight w:val="309"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Nessun assistito trovato con il codice fiscale fornito</w:t>
            </w:r>
          </w:p>
        </w:tc>
      </w:tr>
      <w:tr>
        <w:trPr>
          <w:trHeight w:val="527"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identificative obbligatorie o riportano informazioni non valide</w:t>
            </w:r>
          </w:p>
        </w:tc>
      </w:tr>
      <w:tr>
        <w:trPr>
          <w:trHeight w:val="523"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autorizzative obbligatorie o riportano informazioni non valide</w:t>
            </w:r>
          </w:p>
        </w:tc>
      </w:tr>
      <w:tr>
        <w:trPr>
          <w:trHeight w:val="546"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applicative obbligatorie o riportano informazioni non valide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Dato obbligatorio mancante:&lt;xpath_campo_mancante&gt;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Portafoglio asserzioni non valido</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L'organizationId specificato nelle asserzioni, non coincide con quello presente nel CDA(custodian)</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Permessi insufficienti: &lt;error_message&gt;</w:t>
            </w:r>
          </w:p>
        </w:tc>
      </w:tr>
    </w:tbl>
    <w:p>
      <w:pPr>
        <w:pStyle w:val="Normal"/>
        <w:ind w:left="851" w:right="708"/>
        <w:rPr>
          <w:b/>
          <w:bCs/>
        </w:rPr>
      </w:pPr>
      <w:r>
        <w:rPr>
          <w:b/>
          <w:bCs/>
        </w:rPr>
      </w:r>
    </w:p>
    <w:p>
      <w:pPr>
        <w:pStyle w:val="Normal"/>
        <w:ind w:left="851" w:right="708"/>
        <w:rPr/>
      </w:pPr>
      <w:r>
        <w:rPr>
          <w:b/>
          <w:bCs/>
        </w:rPr>
        <w:t xml:space="preserve">Messaggi di errore per il servizio </w:t>
      </w:r>
      <w:r>
        <w:rPr>
          <w:b/>
          <w:bCs/>
          <w:i/>
          <w:iCs/>
        </w:rPr>
        <w:t>setAgreements, getAgreements, queryDocument, retrieveDocument, blindDocument e getAccessLog</w:t>
      </w:r>
      <w:r>
        <w:rP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81"/>
        <w:gridCol w:w="2781"/>
        <w:gridCol w:w="3272"/>
      </w:tblGrid>
      <w:tr>
        <w:trPr>
          <w:trHeight w:val="300" w:hRule="atLeast"/>
        </w:trPr>
        <w:tc>
          <w:tcPr>
            <w:tcW w:w="15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b/>
                <w:bCs/>
              </w:rPr>
              <w:t>Casistica</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Presenza di assertion permission valorizzata in caso di codici fiscali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Assenza di assertion permission in caso di codici fiscali non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Delegato minorenne</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maggiorenne con assertion di permission GEN (genitorialità)</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minorenne con assertion di permission TER(delega tra terzi)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Valore di delega non incluso tra quelli previsti</w:t>
            </w:r>
          </w:p>
        </w:tc>
      </w:tr>
    </w:tbl>
    <w:p>
      <w:pPr>
        <w:pStyle w:val="Normal"/>
        <w:rPr/>
      </w:pPr>
      <w:r>
        <w:rPr/>
      </w:r>
    </w:p>
    <w:p>
      <w:pPr>
        <w:pStyle w:val="Normal"/>
        <w:rPr/>
      </w:pPr>
      <w:r>
        <w:rPr/>
      </w:r>
    </w:p>
    <w:p>
      <w:pPr>
        <w:pStyle w:val="Normal"/>
        <w:ind w:left="851" w:right="708"/>
        <w:rPr/>
      </w:pPr>
      <w:r>
        <w:rPr/>
      </w:r>
    </w:p>
    <w:p>
      <w:pPr>
        <w:pStyle w:val="Normal"/>
        <w:ind w:left="851" w:right="708"/>
        <w:jc w:val="both"/>
        <w:rPr/>
      </w:pPr>
      <w:r>
        <w:rPr/>
      </w:r>
    </w:p>
    <w:p>
      <w:pPr>
        <w:pStyle w:val="Normal"/>
        <w:ind w:left="851" w:right="708"/>
        <w:rPr>
          <w:b/>
        </w:rPr>
      </w:pPr>
      <w:r>
        <w:rPr>
          <w:b/>
        </w:rPr>
        <w:t xml:space="preserve">Messaggi di errore per il servizio </w:t>
      </w:r>
      <w:r>
        <w:rPr>
          <w:b/>
          <w:i/>
        </w:rPr>
        <w:t>addDocument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w:t>
              <w:softHyphen/>
              <w:t>-00202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consentito l'alimentazione  di questo documento nel fascicolo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FSE-00320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tag inFulfillmentOf non e' presente o non contiene un valore valido</w:t>
            </w:r>
          </w:p>
        </w:tc>
      </w:tr>
    </w:tbl>
    <w:p>
      <w:pPr>
        <w:pStyle w:val="Normal"/>
        <w:ind w:left="851" w:right="708"/>
        <w:rPr>
          <w:b/>
        </w:rPr>
      </w:pPr>
      <w:r>
        <w:rPr>
          <w:b/>
        </w:rPr>
      </w:r>
    </w:p>
    <w:p>
      <w:pPr>
        <w:pStyle w:val="Normal"/>
        <w:ind w:left="851" w:right="708"/>
        <w:rPr>
          <w:b/>
        </w:rPr>
      </w:pPr>
      <w:r>
        <w:rPr>
          <w:b/>
        </w:rPr>
        <w:t xml:space="preserve">Messaggi di errore per il servizio </w:t>
      </w:r>
      <w:r>
        <w:rPr>
          <w:b/>
          <w:i/>
        </w:rPr>
        <w:t>updateDocument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passato non sostituisce quello specificato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Solo l'autore del documento originale può modificarlo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bl>
    <w:p>
      <w:pPr>
        <w:pStyle w:val="Normal"/>
        <w:ind w:left="851" w:right="708"/>
        <w:jc w:val="both"/>
        <w:rPr/>
      </w:pPr>
      <w:r>
        <w:rPr/>
      </w:r>
    </w:p>
    <w:p>
      <w:pPr>
        <w:pStyle w:val="Normal"/>
        <w:ind w:firstLine="131" w:left="720" w:right="708"/>
        <w:rPr/>
      </w:pPr>
      <w:r>
        <w:rPr>
          <w:b/>
        </w:rPr>
        <w:t xml:space="preserve">Messaggi di errore per il servizio </w:t>
      </w:r>
      <w:r>
        <w:rPr>
          <w:b/>
          <w:i/>
        </w:rPr>
        <w:t>queryDocument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Parametri di ricerca non validi in Emergenza PSS</w:t>
            </w:r>
          </w:p>
        </w:tc>
      </w:tr>
    </w:tbl>
    <w:p>
      <w:pPr>
        <w:pStyle w:val="Normal"/>
        <w:ind w:left="851" w:right="708"/>
        <w:jc w:val="both"/>
        <w:rPr>
          <w:b/>
        </w:rPr>
      </w:pPr>
      <w:r>
        <w:rPr>
          <w:b/>
        </w:rPr>
      </w:r>
    </w:p>
    <w:p>
      <w:pPr>
        <w:pStyle w:val="Normal"/>
        <w:ind w:left="851" w:right="708"/>
        <w:rPr>
          <w:b/>
        </w:rPr>
      </w:pPr>
      <w:r>
        <w:rPr>
          <w:b/>
        </w:rPr>
        <w:t xml:space="preserve">Messaggi di errore per il servizio </w:t>
      </w:r>
      <w:r>
        <w:rPr>
          <w:b/>
          <w:i/>
        </w:rPr>
        <w:t>retrieveDocument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sul documento richiesto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accettata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L'utente ha un ruolo non abilitato alla consultazione del documento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0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bl>
    <w:p>
      <w:pPr>
        <w:pStyle w:val="Normal"/>
        <w:ind w:left="851" w:right="708"/>
        <w:jc w:val="both"/>
        <w:rPr>
          <w:b/>
        </w:rPr>
      </w:pPr>
      <w:r>
        <w:rPr>
          <w:b/>
        </w:rPr>
      </w:r>
    </w:p>
    <w:p>
      <w:pPr>
        <w:pStyle w:val="Normal"/>
        <w:keepNext w:val="true"/>
        <w:ind w:left="851" w:right="708"/>
        <w:rPr>
          <w:b/>
          <w:bCs/>
        </w:rPr>
      </w:pPr>
      <w:r>
        <w:rPr>
          <w:b/>
          <w:bCs/>
        </w:rPr>
        <w:t>Messaggi di errore per i servizi di gestione del consenso</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visibile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 per maggior tutela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revocato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revocato</w:t>
            </w:r>
          </w:p>
        </w:tc>
      </w:tr>
    </w:tbl>
    <w:p>
      <w:pPr>
        <w:pStyle w:val="Normal"/>
        <w:rPr/>
      </w:pPr>
      <w:r>
        <w:rPr/>
      </w:r>
    </w:p>
    <w:p>
      <w:pPr>
        <w:pStyle w:val="Normal"/>
        <w:ind w:left="851" w:right="708"/>
        <w:rPr>
          <w:b/>
        </w:rPr>
      </w:pPr>
      <w:r>
        <w:rPr>
          <w:b/>
        </w:rPr>
        <w:t>Messaggi di errore per i servizi di gestione del consenso al pregresso</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 pregresso per tale documento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revocato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non puo' essere espresso senza il consenso all'alimentazione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puo' essere revocato solo revocando il consenso all'alimentazione</w:t>
            </w:r>
          </w:p>
        </w:tc>
      </w:tr>
    </w:tbl>
    <w:p>
      <w:pPr>
        <w:pStyle w:val="Normal"/>
        <w:ind w:firstLine="131" w:left="720" w:right="708"/>
        <w:rPr/>
      </w:pPr>
      <w:r>
        <w:rPr>
          <w:b/>
          <w:bCs/>
        </w:rPr>
        <w:t>Messaggi di errore per il servizio gestione informativa</w:t>
      </w:r>
      <w:r>
        <w:rPr/>
        <w:br/>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32"/>
        <w:gridCol w:w="6001"/>
      </w:tblGrid>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non puo' assumere valori diversi da true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visualizzata e' stata precedentemente accettata.</w:t>
            </w:r>
          </w:p>
        </w:tc>
      </w:tr>
    </w:tbl>
    <w:p>
      <w:pPr>
        <w:pStyle w:val="Normal"/>
        <w:ind w:firstLine="131" w:left="720" w:right="708"/>
        <w:rPr/>
      </w:pPr>
      <w:r>
        <w:rPr>
          <w:b/>
          <w:bCs/>
        </w:rPr>
        <w:t>Messaggi di errore per il servizio setAgreements in riferimento al consenso sulla prevenzione</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w:t>
            </w:r>
            <w:r>
              <w:rPr/>
              <w:t>SE-0000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necessaria, delegante minorenne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subject-id e resource-id devono appartenere al soggetto delegato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sz w:val="20"/>
                <w:szCs w:val="20"/>
              </w:rPr>
              <w:t>Il consenso alla prevenzione ed i sotto-consensi presentano una combinazione di valori non ammessa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delegato minorenne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delegante maggiorenne con delega di genitore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validazione delega: delegante maggiorenne con delega di genitore</w:t>
            </w:r>
          </w:p>
        </w:tc>
      </w:tr>
    </w:tbl>
    <w:p>
      <w:pPr>
        <w:pStyle w:val="Normal"/>
        <w:rPr/>
      </w:pPr>
      <w:r>
        <w:rPr/>
      </w:r>
      <w:r>
        <w:br w:type="page"/>
      </w:r>
    </w:p>
    <w:p>
      <w:pPr>
        <w:pStyle w:val="Heading1"/>
        <w:spacing w:before="0" w:after="120"/>
        <w:rPr/>
      </w:pPr>
      <w:bookmarkStart w:id="247" w:name="_Toc173420578"/>
      <w:bookmarkStart w:id="248" w:name="_Toc438993566"/>
      <w:bookmarkStart w:id="249" w:name="_Ref408914711"/>
      <w:bookmarkStart w:id="250" w:name="_Toc408843930"/>
      <w:r>
        <w:rPr/>
        <w:t>Appendice</w:t>
      </w:r>
      <w:r>
        <w:rPr>
          <w:lang w:val="it-IT"/>
        </w:rPr>
        <w:t xml:space="preserve"> D</w:t>
      </w:r>
      <w:r>
        <w:rPr/>
        <w:t xml:space="preserve"> – Esempi di messaggi soap per la chiamata ai servizi</w:t>
      </w:r>
      <w:bookmarkEnd w:id="247"/>
      <w:bookmarkEnd w:id="248"/>
      <w:bookmarkEnd w:id="249"/>
      <w:bookmarkEnd w:id="250"/>
    </w:p>
    <w:p>
      <w:pPr>
        <w:pStyle w:val="Heading2"/>
        <w:rPr/>
      </w:pPr>
      <w:bookmarkStart w:id="251" w:name="_Toc173420579"/>
      <w:bookmarkStart w:id="252" w:name="_Toc438993567"/>
      <w:bookmarkStart w:id="253" w:name="_Ref408914704"/>
      <w:bookmarkStart w:id="254" w:name="_Toc408843931"/>
      <w:bookmarkStart w:id="255" w:name="_servizio_addDocument"/>
      <w:bookmarkEnd w:id="255"/>
      <w:r>
        <w:rPr>
          <w:lang w:val="it-IT"/>
        </w:rPr>
        <w:t>Web Service: addDocument</w:t>
      </w:r>
      <w:bookmarkEnd w:id="251"/>
      <w:bookmarkEnd w:id="252"/>
      <w:bookmarkEnd w:id="253"/>
      <w:bookmarkEnd w:id="254"/>
    </w:p>
    <w:p>
      <w:pPr>
        <w:pStyle w:val="Normal"/>
        <w:rPr>
          <w:u w:val="single"/>
        </w:rPr>
      </w:pPr>
      <w:r>
        <w:rPr>
          <w:u w:val="single"/>
        </w:rPr>
        <w:t>Esempio 1</w:t>
      </w:r>
    </w:p>
    <w:p>
      <w:pPr>
        <w:pStyle w:val="Normal"/>
        <w:rPr/>
      </w:pPr>
      <w:r>
        <w:rP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pPr>
        <w:pStyle w:val="HTMLPreformatted"/>
        <w:rPr>
          <w:color w:val="7F0055"/>
          <w:sz w:val="14"/>
        </w:rPr>
      </w:pPr>
      <w:r>
        <w:rPr>
          <w:color w:val="7F0055"/>
          <w:sz w:val="14"/>
        </w:rPr>
      </w:r>
      <w:bookmarkStart w:id="256" w:name="_servizio_updateDocument"/>
      <w:bookmarkStart w:id="257" w:name="_servizio_updateDocument"/>
      <w:bookmarkEnd w:id="257"/>
    </w:p>
    <w:p>
      <w:pPr>
        <w:pStyle w:val="HTMLPreformatted"/>
        <w:rPr>
          <w:rFonts w:ascii="Courier New" w:hAnsi="Courier New"/>
          <w:color w:val="7F0055"/>
          <w:sz w:val="14"/>
        </w:rPr>
      </w:pPr>
      <w:r>
        <w:rPr>
          <w:rFonts w:ascii="Courier New" w:hAnsi="Courier New"/>
          <w:color w:val="7F0055"/>
          <w:sz w:val="14"/>
        </w:rP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xsi:type="xs:string"&gt;patientConsent&lt;/saml:AttributeValue&gt;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http://www.sist.puglia.it/Schemas/PDD_SIST/SCATEL/FSE/addDocument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uuid:394aafcc-6f63-4231-bcd1-00210034c7b0</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olor w:val="000000"/>
          <w:sz w:val="14"/>
          <w:lang w:val="it-IT"/>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pPr>
        <w:pStyle w:val="HTMLPreformatted"/>
        <w:rPr>
          <w:rFonts w:ascii="Courier New" w:hAnsi="Courier New"/>
          <w:color w:val="000000"/>
          <w:sz w:val="14"/>
          <w:lang w:val="en-US"/>
        </w:rPr>
      </w:pPr>
      <w:r>
        <w:rPr>
          <w:rFonts w:ascii="Courier New" w:hAnsi="Courier New"/>
          <w:color w:val="000000"/>
          <w:sz w:val="14"/>
          <w:lang w:val="en-US"/>
        </w:rPr>
        <w:t>&lt;ns2:binaryName&gt;Allegato.pdf&lt;/ns2:binaryName&gt;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HTMLPreformatted"/>
        <w:rPr>
          <w:rFonts w:ascii="Times New Roman" w:hAnsi="Times New Roman" w:eastAsia="Times New Roman"/>
          <w:lang w:val="it-IT" w:eastAsia="it-IT"/>
        </w:rPr>
      </w:pPr>
      <w:r>
        <w:rPr>
          <w:rFonts w:eastAsia="Times New Roman" w:ascii="Times New Roman" w:hAnsi="Times New Roman"/>
          <w:b/>
          <w:lang w:val="it-IT" w:eastAsia="it-IT"/>
        </w:rPr>
        <w:t>Nota:</w:t>
      </w:r>
      <w:r>
        <w:rPr>
          <w:rFonts w:eastAsia="Times New Roman" w:ascii="Times New Roman" w:hAnsi="Times New Roman"/>
          <w:lang w:val="it-IT" w:eastAsia="it-IT"/>
        </w:rPr>
        <w:t xml:space="preserve">  In presenza di allegato pdf se ne richiede la valorizzazione in EncodeBase64 nel tag  binaryDocument con il relativo binaryName.pdf</w:t>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urn:uuid:a0ee6c02-76d9-455d-93f0-5013fab1ef7e</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2014-10-15T08:14:55Z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invio di un documento già depositato in un repository passando al sistema FSE il repositorydocumentURI nel corpo della chiamata.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xsi:type="xs:string"&gt;patientConsent&lt;/saml:AttributeValue&gt;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http://www.sist.puglia.it/Schemas/PDD_SIST/SCATEL/FSE/addDocument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uuid:394aafcc-6f63-4231-bcd1-00210034c7b0</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&lt;ns2:documentID&gt;1&lt;/ns2:documentID&gt;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risposta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urn:uuid:a0ee6c02-76d9-455d-93f0-5013fab1ef7e</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2014-10-15T08:14:55Z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lang w:val="en-US"/>
        </w:rPr>
      </w:pPr>
      <w:r>
        <w:rPr>
          <w:lang w:val="en-US"/>
        </w:rPr>
      </w:r>
    </w:p>
    <w:p>
      <w:pPr>
        <w:pStyle w:val="Heading2"/>
        <w:rPr/>
      </w:pPr>
      <w:bookmarkStart w:id="258" w:name="_Toc173420580"/>
      <w:bookmarkStart w:id="259" w:name="_Toc438993568"/>
      <w:bookmarkStart w:id="260" w:name="_Ref408914759"/>
      <w:bookmarkStart w:id="261" w:name="_Toc408843932"/>
      <w:r>
        <w:rPr>
          <w:lang w:val="it-IT"/>
        </w:rPr>
        <w:t>Web Service: updateDocument</w:t>
      </w:r>
      <w:bookmarkEnd w:id="258"/>
      <w:bookmarkEnd w:id="259"/>
      <w:bookmarkEnd w:id="260"/>
      <w:bookmarkEnd w:id="261"/>
    </w:p>
    <w:p>
      <w:pPr>
        <w:pStyle w:val="Heading3"/>
        <w:rPr/>
      </w:pPr>
      <w:bookmarkStart w:id="262" w:name="_Toc173420581"/>
      <w:bookmarkStart w:id="263" w:name="_Toc438993569"/>
      <w:bookmarkStart w:id="264" w:name="_Toc408843933"/>
      <w:r>
        <w:rPr/>
        <w:t>Modifica di un documento</w:t>
      </w:r>
      <w:bookmarkEnd w:id="262"/>
      <w:bookmarkEnd w:id="263"/>
      <w:bookmarkEnd w:id="264"/>
    </w:p>
    <w:p>
      <w:pPr>
        <w:pStyle w:val="Normal"/>
        <w:rPr>
          <w:u w:val="single"/>
        </w:rPr>
      </w:pPr>
      <w:r>
        <w:rPr>
          <w:u w:val="single"/>
        </w:rPr>
        <w:t xml:space="preserve">Esempio 1 </w:t>
      </w:r>
    </w:p>
    <w:p>
      <w:pPr>
        <w:pStyle w:val="Normal"/>
        <w:rPr/>
      </w:pPr>
      <w:r>
        <w:rP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patientConsent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urn:uuid:41bff400-8509-4199-8c71-979bfb3060eb</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HTMLPreformatted"/>
        <w:rPr>
          <w:rFonts w:ascii="Courier New" w:hAnsi="Courier New"/>
          <w:color w:val="000000"/>
          <w:sz w:val="14"/>
        </w:rPr>
      </w:pPr>
      <w:r>
        <w:rPr>
          <w:rFonts w:ascii="Courier New" w:hAnsi="Courier New"/>
          <w:color w:val="000000"/>
          <w:sz w:val="14"/>
        </w:rPr>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urn:uuid:44164e39-ee3b-4209-9703-c613ea69fa21</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2014-10-15T08:22:03Z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modifica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"2014-07-14T10:00:02.589Z"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"2014-07-14T10:00:01.807Z"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"2014-07-14T11:00:01.807Z"/&gt;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"2014-07-14T10:00:02.585Z"&gt;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"2014-07-15T02:40:02.596Z"/&gt;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"2014-07-14T10:00:02.599Z"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xsi:type="xs:string"&gt;organization&lt;/saml:AttributeValue&gt;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patientConsent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repositoryDocumentURI&gt;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2</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localNode&gt;</w:t>
      </w:r>
      <w:r>
        <w:rPr>
          <w:rFonts w:cs="Courier New" w:ascii="Courier New" w:hAnsi="Courier New"/>
          <w:color w:val="000000"/>
          <w:sz w:val="14"/>
          <w:szCs w:val="14"/>
          <w:lang w:val="en-US"/>
        </w:rPr>
        <w:t>160114</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localNode&gt;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olor w:val="000000"/>
          <w:sz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cs="Arial Unicode MS" w:ascii="Arial Unicode MS" w:hAnsi="Arial Unicode MS"/>
          <w:color w:val="000000"/>
          <w:sz w:val="14"/>
          <w:szCs w:val="14"/>
        </w:rPr>
        <w:br/>
      </w:r>
      <w:r>
        <w:rP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urn:uuid:e5a35ff2-577b-439f-b113-501c7ae137f6</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2014-10-15T08:32:11Z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Heading3"/>
        <w:rPr/>
      </w:pPr>
      <w:bookmarkStart w:id="265" w:name="_Toc173420582"/>
      <w:r>
        <w:rPr/>
        <w:t>Annullo di un documento</w:t>
      </w:r>
      <w:bookmarkEnd w:id="265"/>
    </w:p>
    <w:p>
      <w:pPr>
        <w:pStyle w:val="Normal"/>
        <w:rPr>
          <w:u w:val="single"/>
        </w:rPr>
      </w:pPr>
      <w:r>
        <w:rPr>
          <w:u w:val="single"/>
        </w:rPr>
        <w:t xml:space="preserve">Esempio 1 </w:t>
      </w:r>
    </w:p>
    <w:p>
      <w:pPr>
        <w:pStyle w:val="Normal"/>
        <w:rPr/>
      </w:pPr>
      <w:r>
        <w:rP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olor w:val="000000"/>
          <w:sz w:val="14"/>
          <w:lang w:val="en-US"/>
        </w:rPr>
      </w:pPr>
      <w:r>
        <w:rPr>
          <w:rFonts w:ascii="Courier New" w:hAnsi="Courier New"/>
          <w:color w:val="000000"/>
          <w:sz w:val="14"/>
          <w:lang w:val="en-US"/>
        </w:rPr>
        <w:t>&lt;ns2:documentID&gt;urn:uuid:</w:t>
      </w:r>
      <w:r>
        <w:rPr>
          <w:rFonts w:cs="Courier New" w:ascii="Courier New" w:hAnsi="Courier New"/>
          <w:color w:val="000000"/>
          <w:sz w:val="14"/>
          <w:szCs w:val="14"/>
          <w:lang w:val="en-US"/>
        </w:rPr>
        <w:t>41bff400-8509-4199-8c71-979bfb3060eb</w:t>
      </w:r>
      <w:r>
        <w:rPr>
          <w:rFonts w:ascii="Courier New" w:hAnsi="Courier New"/>
          <w:color w:val="000000"/>
          <w:sz w:val="14"/>
          <w:lang w:val="en-US"/>
        </w:rPr>
        <w:t>&lt;/ns2:documentID&gt;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lang w:val="en-US"/>
        </w:rPr>
      </w:pPr>
      <w:r>
        <w:rPr>
          <w:rFonts w:ascii="Courier New" w:hAnsi="Courier New"/>
          <w:color w:val="000000"/>
          <w:sz w:val="14"/>
          <w:lang w:val="en-US"/>
        </w:rPr>
        <w:t>&lt;/ns2:document&gt;</w:t>
      </w:r>
    </w:p>
    <w:p>
      <w:pPr>
        <w:pStyle w:val="HTMLPreformatted"/>
        <w:rPr>
          <w:rFonts w:ascii="Courier New" w:hAnsi="Courier New"/>
          <w:color w:val="000000"/>
          <w:sz w:val="14"/>
          <w:lang w:val="en-US"/>
        </w:rPr>
      </w:pPr>
      <w:r>
        <w:rPr>
          <w:rFonts w:ascii="Courier New" w:hAnsi="Courier New"/>
          <w:color w:val="000000"/>
          <w:sz w:val="14"/>
          <w:lang w:val="en-US"/>
        </w:rPr>
        <w:t>&lt;/ns2:updateDocument&gt;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urn:uuid:44164e39-ee3b-4209-9703-c613ea69fa21</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2014-10-15T08:22:03Z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annullo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Name="urn:oasis:names:tc:xspa:1.0:subject:organization-id"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urn:uuid:a92927f5-afa5-4ef1-80d1-b0b21f3f321e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&lt;ns2:documentID&gt;2&lt;/ns2:documentID&gt;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ascii="Arial Unicode MS" w:hAnsi="Arial Unicode MS"/>
          <w:color w:val="000000"/>
          <w:sz w:val="14"/>
        </w:rPr>
        <w:br/>
      </w:r>
      <w:r>
        <w:rPr/>
        <w:t>Esempio di response relativa alla chiamata  precedente:</w:t>
        <w:br/>
      </w:r>
    </w:p>
    <w:p>
      <w:pPr>
        <w:pStyle w:val="HTMLPreformatted"/>
        <w:rPr>
          <w:rFonts w:ascii="Courier New" w:hAnsi="Courier New" w:cs="Courier New"/>
          <w:color w:val="000000"/>
          <w:sz w:val="14"/>
          <w:szCs w:val="14"/>
          <w:lang w:val="en-US"/>
        </w:rPr>
      </w:pPr>
      <w:bookmarkStart w:id="266" w:name="_servizio_queryDocument"/>
      <w:bookmarkEnd w:id="266"/>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urn:uuid:e5a35ff2-577b-439f-b113-501c7ae137f6</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2014-10-15T08:32:11Z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HTMLPreformatted"/>
        <w:rPr>
          <w:rFonts w:ascii="Courier New" w:hAnsi="Courier New"/>
          <w:color w:val="000000"/>
          <w:sz w:val="14"/>
          <w:lang w:val="en-US"/>
        </w:rPr>
      </w:pPr>
      <w:r>
        <w:rPr>
          <w:rFonts w:ascii="Courier New" w:hAnsi="Courier New"/>
          <w:color w:val="000000"/>
          <w:sz w:val="14"/>
          <w:lang w:val="en-US"/>
        </w:rPr>
      </w:r>
    </w:p>
    <w:p>
      <w:pPr>
        <w:pStyle w:val="Normal"/>
        <w:rPr>
          <w:lang w:val="en-US"/>
        </w:rPr>
      </w:pPr>
      <w:r>
        <w:rPr>
          <w:lang w:val="en-US"/>
        </w:rPr>
      </w:r>
    </w:p>
    <w:p>
      <w:pPr>
        <w:pStyle w:val="Heading2"/>
        <w:rPr>
          <w:lang w:val="it-IT"/>
        </w:rPr>
      </w:pPr>
      <w:bookmarkStart w:id="267" w:name="_Toc173420583"/>
      <w:bookmarkStart w:id="268" w:name="_Toc438993571"/>
      <w:bookmarkStart w:id="269" w:name="_Ref408914783"/>
      <w:bookmarkStart w:id="270" w:name="_Toc408843935"/>
      <w:r>
        <w:rPr>
          <w:lang w:val="it-IT"/>
        </w:rPr>
        <w:t>Web Service: queryDocument</w:t>
      </w:r>
      <w:bookmarkEnd w:id="267"/>
      <w:bookmarkEnd w:id="268"/>
      <w:bookmarkEnd w:id="269"/>
      <w:bookmarkEnd w:id="270"/>
    </w:p>
    <w:p>
      <w:pPr>
        <w:pStyle w:val="Normal"/>
        <w:rPr>
          <w:u w:val="single"/>
        </w:rPr>
      </w:pPr>
      <w:r>
        <w:rPr>
          <w:u w:val="single"/>
        </w:rPr>
        <w:t>Esempio 1</w:t>
      </w:r>
    </w:p>
    <w:p>
      <w:pPr>
        <w:pStyle w:val="Normal"/>
        <w:rPr/>
      </w:pPr>
      <w:r>
        <w:rPr/>
        <w:t>Ricerca di tutti i documenti preseni nel FSE dell’assistito. Per il significato ed i valori corretti delle asserzioni vedere i paragrafi relativi ai servizi.</w:t>
        <w:br/>
      </w:r>
    </w:p>
    <w:p>
      <w:pPr>
        <w:pStyle w:val="HTMLPreformatted"/>
        <w:rPr>
          <w:rFonts w:ascii="Courier New" w:hAnsi="Courier New" w:eastAsia="Times New Roman" w:cs="Courier New"/>
          <w:color w:val="000000"/>
          <w:sz w:val="14"/>
          <w:szCs w:val="14"/>
          <w:lang w:val="en-US"/>
        </w:rPr>
      </w:pPr>
      <w:r>
        <w:rPr>
          <w:rFonts w:ascii="Courier New" w:hAnsi="Courier New"/>
          <w:color w:val="000000"/>
          <w:sz w:val="14"/>
          <w:lang w:val="en-US"/>
        </w:rPr>
        <w:t>&lt;</w:t>
      </w:r>
      <w:r>
        <w:rPr>
          <w:rFonts w:eastAsia="Times New Roman" w:cs="Courier New" w:ascii="Courier New" w:hAnsi="Courier New"/>
          <w:color w:val="000000"/>
          <w:sz w:val="14"/>
          <w:szCs w:val="14"/>
          <w:lang w:val="en-US"/>
        </w:rPr>
        <w:t>S:</w:t>
      </w:r>
      <w:r>
        <w:rPr>
          <w:rFonts w:ascii="Courier New" w:hAnsi="Courier New"/>
          <w:color w:val="000000"/>
          <w:sz w:val="14"/>
          <w:lang w:val="en-US"/>
        </w:rPr>
        <w:t>Envelope</w:t>
      </w:r>
      <w:r>
        <w:rPr>
          <w:rFonts w:eastAsia="Times New Roman"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"id-953"</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"id-954"</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"id-955"</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"id-956"</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"2014-07-14T12:15:32.987Z"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"2014-07-14T12:15:32.320Z"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"2014-07-14T13:15:32.320Z"/&gt;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"2014-07-14T12:15:32.983Z"&gt;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"2014-07-15T04:55:32.996Z"/&gt;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queryDocument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r>
        <w:rPr>
          <w:rFonts w:cs="Courier New" w:ascii="Courier New" w:hAnsi="Courier New"/>
          <w:color w:val="000000"/>
          <w:sz w:val="14"/>
          <w:szCs w:val="14"/>
          <w:lang w:val="en-US"/>
        </w:rPr>
        <w:t>2.16.840.1.113883.2.9.4.3.2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extension&gt;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extension&gt;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queryDocument&gt;</w:t>
      </w:r>
    </w:p>
    <w:p>
      <w:pPr>
        <w:pStyle w:val="HTMLPreformatted"/>
        <w:rPr>
          <w:rFonts w:ascii="Courier New" w:hAnsi="Courier New"/>
          <w:color w:val="000000"/>
          <w:sz w:val="14"/>
        </w:rPr>
      </w:pPr>
      <w:r>
        <w:rPr>
          <w:rFonts w:ascii="Courier New" w:hAnsi="Courier New"/>
          <w:color w:val="000000"/>
          <w:sz w:val="14"/>
        </w:rPr>
        <w:t>&lt;/S:Body&gt;</w:t>
      </w:r>
    </w:p>
    <w:p>
      <w:pPr>
        <w:pStyle w:val="HTMLPreformatted"/>
        <w:rPr>
          <w:rFonts w:ascii="Courier New" w:hAnsi="Courier New"/>
          <w:color w:val="000000"/>
          <w:sz w:val="14"/>
        </w:rPr>
      </w:pPr>
      <w:r>
        <w:rPr>
          <w:rFonts w:ascii="Courier New" w:hAnsi="Courier New"/>
          <w:color w:val="000000"/>
          <w:sz w:val="14"/>
        </w:rPr>
        <w:t>&lt;/S:Envelope&gt;</w:t>
      </w:r>
    </w:p>
    <w:p>
      <w:pPr>
        <w:pStyle w:val="Normal"/>
        <w:rPr/>
      </w:pPr>
      <w:r>
        <w:rPr/>
        <w:br/>
        <w:t>Esempio di response relativa alla chiamata  precedente: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urn:uuid:0624d6d6-5605-4846-9800-1a9569f79fb2</w:t>
      </w:r>
      <w:r>
        <w:rPr>
          <w:rFonts w:ascii="Courier New" w:hAnsi="Courier New"/>
          <w:color w:val="000000"/>
          <w:sz w:val="14"/>
          <w:lang w:val="en-US"/>
        </w:rPr>
        <w:t>&lt;/MessageID&gt;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uuid:cc5a6b57-3cb8-48a2-9211-de9b00143aff</w:t>
      </w:r>
      <w:r>
        <w:rPr>
          <w:rFonts w:ascii="Courier New" w:hAnsi="Courier New"/>
          <w:color w:val="000000"/>
          <w:sz w:val="14"/>
        </w:rPr>
        <w:t>&lt;/RelatesTo&gt;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2014-10-16T14:13:46Z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2014-10-16T14:18:46Z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urn:uuid:44592a3d-691f-4b1f-854b-bcbaead67f54</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documentType&gt;57833-6&lt;/documentType</w:t>
      </w:r>
      <w:r>
        <w:rPr>
          <w:rFonts w:ascii="Courier New" w:hAnsi="Courier New"/>
          <w:color w:val="000000"/>
          <w:sz w:val="14"/>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r>
        <w:rPr>
          <w:rFonts w:cs="Courier New" w:ascii="Courier New" w:hAnsi="Courier New"/>
          <w:color w:val="000000"/>
          <w:sz w:val="14"/>
          <w:szCs w:val="14"/>
          <w:lang w:val="es-ES"/>
        </w:rPr>
        <w:t>2.16.840.1.113883.2.9.4.3.6.00T70U0000012</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Regione Puglia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allegato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presente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false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20140707141800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M01AX17</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farmacoGruppoEquivalenza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186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B02.211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farmaco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025940025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M01AX17</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urn:uuid:e03a9c97-2d31-43be-b911-34ddcf494305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&lt;documentType&gt;57832-8&lt;/documentType&gt;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prestazione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prestazione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8952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2.16.840.1.113883.2.9.4.3.6.004LLS00000S8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Regione Puglia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presente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20110926150300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B02.211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urn:uuid:82cdd101-8c50-4448-ab60-d7635f5792fc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w:t>
      </w:r>
      <w:r>
        <w:rPr>
          <w:rFonts w:cs="Courier New" w:ascii="Courier New" w:hAnsi="Courier New"/>
          <w:color w:val="000000"/>
          <w:sz w:val="14"/>
          <w:szCs w:val="14"/>
        </w:rPr>
        <w:t>34878-9</w:t>
      </w:r>
      <w:r>
        <w:rPr>
          <w:rFonts w:ascii="Courier New" w:hAnsi="Courier New"/>
          <w:color w:val="000000"/>
          <w:sz w:val="14"/>
        </w:rPr>
        <w:t>&lt;/documentType&gt;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allergia</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codificaAllergia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x70618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codificaReazione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x0123456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x55561003</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dataRedazione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dataRedazione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20140411105959</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2.16.840.1.113883.2.9.2.160.4.4.160114.640752.20140411105959.81735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Regione Puglia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allergia</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codificaAllergia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70618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codificaReazione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0123456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55561003</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nome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nome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description&gt;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oscuramento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oscurato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presente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20140411105959</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00080004049300000000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00010009007000030002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0012000206920002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queryDocumentResponse&gt;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Normal"/>
        <w:rPr>
          <w:u w:val="single"/>
        </w:rPr>
      </w:pPr>
      <w:r>
        <w:rPr>
          <w:u w:val="single"/>
        </w:rPr>
        <w:t>Esempio 2</w:t>
      </w:r>
    </w:p>
    <w:p>
      <w:pPr>
        <w:pStyle w:val="Normal"/>
        <w:rPr/>
      </w:pPr>
      <w:r>
        <w:rPr/>
        <w:t>Ricerca di tutti i documenti di un assistito in un intervallo di date: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07-14T12:15:32.987Z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07-14T12:15:32.320Z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07-14T13:15:32.320Z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07-14T12:15:32.983Z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07-14T12:15:32.996Z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07-15T04:55:32.996Z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xsi:type="xs:string"&gt;nonce&lt;/saml:AttributeValue&gt;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xsi:type="xs:string"&gt;applDigest&lt;/saml:AttributeValue&gt;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xsi:type="xs:string"&gt;created&lt;/saml:AttributeValue&gt;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xsi:type="xs:string"&gt;patientId&lt;/saml:AttributeValue&gt;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xsi:type="xs:string"&gt;operatorId&lt;/saml:AttributeValue&gt;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xsi:type="xs:string"&gt;role&lt;/saml:AttributeValue&gt;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queryDocument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dateFrom&gt;</w:t>
      </w:r>
      <w:r>
        <w:rPr>
          <w:rFonts w:cs="Courier New" w:ascii="Courier New" w:hAnsi="Courier New"/>
          <w:color w:val="000000"/>
          <w:sz w:val="14"/>
          <w:szCs w:val="14"/>
          <w:lang w:val="en-US"/>
        </w:rPr>
        <w:t>2010-02-11T00:00:00.000+01:00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dateFrom&gt;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t>&lt;ns2:dateTo&gt;2014-02-11T23:59:59.000+01:00&lt;/ns2:dateTo&gt;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r>
        <w:rPr>
          <w:rFonts w:cs="Courier New" w:ascii="Courier New" w:hAnsi="Courier New"/>
          <w:color w:val="000000"/>
          <w:sz w:val="14"/>
          <w:szCs w:val="14"/>
          <w:lang w:val="en-US"/>
        </w:rPr>
        <w:t>2.16.840.1.113883.2.9.4.3.2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t>&lt;ns2:extension&gt;patientId&lt;/ns2:extension&gt;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u w:val="single"/>
          <w:lang w:val="en-US"/>
        </w:rPr>
      </w:pPr>
      <w:r>
        <w:rPr>
          <w:lang w:val="en-US"/>
        </w:rPr>
        <w:br/>
      </w:r>
      <w:r>
        <w:rPr>
          <w:u w:val="single"/>
          <w:lang w:val="en-US"/>
        </w:rPr>
        <w:t>Esempio 3</w:t>
      </w:r>
    </w:p>
    <w:p>
      <w:pPr>
        <w:pStyle w:val="Normal"/>
        <w:rPr/>
      </w:pPr>
      <w:r>
        <w:rPr/>
        <w:t>Ricerca di specifiche tipologie di documento: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w:t>
      </w:r>
      <w:r>
        <w:rPr>
          <w:rFonts w:cs="Courier New" w:ascii="Courier New" w:hAnsi="Courier New"/>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w:t>
      </w:r>
      <w:r>
        <w:rPr>
          <w:rFonts w:cs="Courier New" w:ascii="Courier New" w:hAnsi="Courier New"/>
          <w:sz w:val="14"/>
          <w:szCs w:val="14"/>
          <w:lang w:val="en-US"/>
        </w:rPr>
        <w:t xml:space="preserve">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NotBefore="2014-07-14T12:15:32.320Z" 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NotBefore="2014-07-14T12:15:32.996Z" 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NotBefore="2014-07-14T12:15:32.998Z" 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&lt;ns2:documentTypes&gt;57832-8&lt;/ns2:documentTypes&gt;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&lt;ns2:documentTypes&gt;28653-4&lt;/ns2:documentTypes&gt;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&lt;ns2:extension&gt;patientId&lt;/ns2:extension&gt;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u w:val="single"/>
          <w:lang w:val="en-US"/>
        </w:rPr>
      </w:pPr>
      <w:r>
        <w:rPr>
          <w:u w:val="single"/>
          <w:lang w:val="en-US"/>
        </w:rPr>
        <w:t xml:space="preserve">Esempio 4 </w:t>
      </w:r>
    </w:p>
    <w:p>
      <w:pPr>
        <w:pStyle w:val="Normal"/>
        <w:rPr/>
      </w:pPr>
      <w:r>
        <w:rPr/>
        <w:t>Ricerca utilizzando i metadati:</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NotBefore="2014-07-14T12:15:32.320Z"NotOnOrAfter="2014-07-14T13:15:32.320Z"/&gt;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NotBefore="2014-07-14T12:15:32.996Z"NotOnOrAfter="2014-07-15T04:55:32.996Z"/&gt;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NotBefore="2014-07-14T12:15:32.998Z"NotOnOrAfter="2014-07-14T13:15:32.998Z"/&gt;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&lt;ns2:extension&gt;</w:t>
      </w:r>
      <w:r>
        <w:rPr>
          <w:rFonts w:cs="Courier New" w:ascii="Courier New" w:hAnsi="Courier New"/>
          <w:sz w:val="14"/>
          <w:szCs w:val="14"/>
          <w:lang w:val="en-US"/>
        </w:rPr>
        <w:t>patientId</w:t>
      </w:r>
      <w:r>
        <w:rPr>
          <w:rFonts w:ascii="Courier New" w:hAnsi="Courier New"/>
          <w:sz w:val="14"/>
          <w:lang w:val="en-US"/>
        </w:rPr>
        <w:t>&lt;/ns2:extension&gt;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&lt;ns2:code&gt;B02.211&lt;/ns2:code&gt;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&lt;/S:Envelope&gt;</w:t>
      </w:r>
      <w:r>
        <w:rPr>
          <w:rFonts w:cs="Courier New" w:ascii="Courier New" w:hAnsi="Courier New"/>
          <w:sz w:val="14"/>
          <w:szCs w:val="14"/>
          <w:lang w:val="en-US"/>
        </w:rPr>
        <w:br/>
      </w:r>
    </w:p>
    <w:p>
      <w:pPr>
        <w:pStyle w:val="Heading2"/>
        <w:rPr>
          <w:lang w:val="it-IT"/>
        </w:rPr>
      </w:pPr>
      <w:bookmarkStart w:id="271" w:name="_Toc173420584"/>
      <w:bookmarkStart w:id="272" w:name="_Toc438993572"/>
      <w:bookmarkStart w:id="273" w:name="_Ref408914804"/>
      <w:bookmarkStart w:id="274" w:name="_Toc408843936"/>
      <w:bookmarkStart w:id="275" w:name="_servizio_retrieveDocument"/>
      <w:bookmarkEnd w:id="275"/>
      <w:r>
        <w:rPr>
          <w:lang w:val="it-IT"/>
        </w:rPr>
        <w:t>Web Service: retrieveDocument</w:t>
      </w:r>
      <w:bookmarkEnd w:id="271"/>
      <w:bookmarkEnd w:id="272"/>
      <w:bookmarkEnd w:id="273"/>
      <w:bookmarkEnd w:id="27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NotBefore="2014-07-22T13:52:54.244Z" NotOnOrAfter="2014-07-22T14:52:54.244Z"/&gt;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NotBefore="2014-07-22T13:52:54.246Z" NotOnOrAfter="2014-07-23T06:32:54.246Z"/&gt;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NotBefore="2014-07-22T13:52:54.247Z" NotOnOrAfter="2014-07-22T14:52:54.247Z"/&gt;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resource:resource-id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action:action-id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r>
        <w:rPr>
          <w:rFonts w:cs="Courier New" w:ascii="Courier New" w:hAnsi="Courier New"/>
          <w:sz w:val="14"/>
          <w:szCs w:val="14"/>
          <w:lang w:val="en-US"/>
        </w:rPr>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&lt;ns2:retrieveDocument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&lt;ns2:documentID&gt;urn:uuid:2ce89af7-0796-4666-9181-e133d61ee3f8&lt;/ns2:documentID&gt;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&lt;ns2:regionalNode&gt;IT-75&lt;/ns2:regionalNode&gt;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&lt;ns2:patientId&gt;FSEPGL10B41A145Y&lt;/ns2:patientId&gt;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xmlns="http://www.w3.org/2005/08/addressing"&gt;urn:uuid:6fa4120c-5bbd-4aaa-bcba-9593281a7174&lt;/MessageID&gt;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xmlns="http://www.w3.org/2005/08/addressing"&gt;uuid:bcb93912-c52a-46ff-aaf0-13294acaa888&lt;/RelatesTo&gt;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eastAsia="Arial Unicode MS" w:cs="Arial Unicode MS" w:ascii="Courier New" w:hAnsi="Courier New"/>
          <w:sz w:val="14"/>
          <w:lang w:val="en-US"/>
        </w:rPr>
        <w:t>&lt;wsu:Timestamp wsu:Id="_1" xmlns:ns14="http://docs.oasis-open.org/ws-sx/ws-secureconversation/200512" xmlns:ns13="http://www.w3.org/2003/05/soap-envelope"&gt;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&lt;wsu:Created&gt;2014-10-16T16:11:36Z&lt;/wsu:Created&gt;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&lt;wsu:Expires&gt;2014-10-16T16:16:36Z&lt;/wsu:Expires&gt;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xASChsA8P3htbC1zdHlsZXNoZWV0IHR5cGU9InRleHQveHNsIiBocmVmPSJodHRwOi8vd3d3LnJl</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OMISSIS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VPufUpwKpYDch6yHeAeffbvDfOyYD6KhQ5aaerpDw/ufSM5Y+Fyt6HQ44wL0u/FkDAe4Tz7qHi7J</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FH3B7q3cMYOvfAYrvZqA5p0nJY7tmyWGg3BXVwIninYUMUssYrI=&lt;/ns2:document&gt;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&lt;ns2:documentName&gt;prescr_farm2&lt;/ns2:documentName&gt;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&lt;/ns2:retrieveDocumentResponse&gt;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sz w:val="14"/>
          <w:szCs w:val="14"/>
          <w:lang w:val="en-US"/>
        </w:rPr>
      </w:pPr>
      <w:r>
        <w:rPr>
          <w:sz w:val="14"/>
          <w:szCs w:val="14"/>
          <w:lang w:val="en-US"/>
        </w:rPr>
      </w:r>
    </w:p>
    <w:p>
      <w:pPr>
        <w:pStyle w:val="Heading2"/>
        <w:rPr>
          <w:lang w:val="it-IT"/>
        </w:rPr>
      </w:pPr>
      <w:bookmarkStart w:id="276" w:name="_Toc173420585"/>
      <w:bookmarkStart w:id="277" w:name="_Toc438993573"/>
      <w:r>
        <w:rPr>
          <w:lang w:val="it-IT"/>
        </w:rPr>
        <w:t>Web Service: setWritingAgreement</w:t>
      </w:r>
      <w:bookmarkEnd w:id="276"/>
      <w:bookmarkEnd w:id="277"/>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xmlns="http://www.w3.org/2005/08/addressing"&gt;urn:uuid:8e97d21c-89cc-479d-a72e-52d0c4b80026&lt;/MessageID&gt;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xmlns="http://www.w3.org/2005/08/addressing"&gt;uuid:6bbdaa75-c77b-4312-aec5-570a22851cbd&lt;/RelatesTo&gt;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&lt;wsu:Created&gt;2015-01-16T16:33:14Z&lt;/wsu:Created&gt;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&lt;wsu:Expires&gt;2015-01-16T16:38:14Z&lt;/wsu:Expires&gt;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78" w:name="_Toc173420586"/>
      <w:bookmarkStart w:id="279" w:name="_Toc438993574"/>
      <w:r>
        <w:rPr>
          <w:lang w:val="it-IT"/>
        </w:rPr>
        <w:t>Web Service: getWritingAgreement</w:t>
      </w:r>
      <w:bookmarkEnd w:id="278"/>
      <w:bookmarkEnd w:id="279"/>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rFonts w:ascii="Courier New" w:hAnsi="Courier New"/>
          <w:sz w:val="14"/>
        </w:rPr>
        <w:t>&lt;/S:Envelope&gt;</w:t>
      </w:r>
      <w:r>
        <w:rPr>
          <w:rFonts w:cs="Courier New" w:ascii="Courier New" w:hAnsi="Courier New"/>
          <w:sz w:val="14"/>
          <w:szCs w:val="14"/>
        </w:rPr>
        <w:br/>
      </w:r>
    </w:p>
    <w:p>
      <w:pPr>
        <w:pStyle w:val="Normal"/>
        <w:rPr/>
      </w:pPr>
      <w:r>
        <w:rPr/>
        <w:t>Response relativa alla chiamata  precedente (per assistito che ha già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r>
    </w:p>
    <w:p>
      <w:pPr>
        <w:pStyle w:val="Normal"/>
        <w:rPr/>
      </w:pPr>
      <w:r>
        <w:rPr/>
        <w:t>Response relativa alla chiamata  precedente per assistito che non ha mai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&lt;ns2:agreement&gt;none&lt;/ns2:agreement&gt;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pPr>
      <w:r>
        <w:rPr/>
        <w:t>Response relativa alla chiamata  precedente per assistito che ha negato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&lt;ns2:agreement&gt;false&lt;/ns2:agreement&gt;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eading2"/>
        <w:rPr>
          <w:lang w:val="it-IT"/>
        </w:rPr>
      </w:pPr>
      <w:bookmarkStart w:id="280" w:name="_Toc173420587"/>
      <w:bookmarkStart w:id="281" w:name="_Toc438993575"/>
      <w:r>
        <w:rPr>
          <w:lang w:val="it-IT"/>
        </w:rPr>
        <w:t>Web Service: setReadingAgreement</w:t>
      </w:r>
      <w:bookmarkEnd w:id="280"/>
      <w:bookmarkEnd w:id="281"/>
    </w:p>
    <w:p>
      <w:pPr>
        <w:pStyle w:val="Normal"/>
        <w:rPr/>
      </w:pPr>
      <w:r>
        <w:rPr/>
        <w:t>Esempio di impostazione del consenso alla consultazione: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NotBefore="2014-07-21T10:11:21.527Z" NotOnOrAfter="2014-07-21T11:11:21.527Z"/&gt;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NotBefore="2014-07-21T10:11:21.529Z" NotOnOrAfter="2014-07-22T02:51:21.529Z"/&gt;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w:t>
      </w:r>
      <w:r>
        <w:rPr>
          <w:rFonts w:cs="Courier New" w:ascii="Courier New" w:hAnsi="Courier New"/>
          <w:sz w:val="14"/>
          <w:szCs w:val="14"/>
          <w:lang w:val="en-US"/>
        </w:rPr>
        <w:t>&gt;operatorId&lt;/saml:NameID&gt;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NotBefore="2014-07-21T10:11:21.530Z" NotOnOrAfter="2014-07-21T11:11:21.530Z"/&gt;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xmlns="http://www.w3.org/2005/08/addressing"&gt;urn:uuid:3cf79dd8-328a-4047-b135-68132c8c5a54&lt;/MessageID&gt;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xmlns="http://www.w3.org/2005/08/addressing"&gt;uuid:43db594f-2949-4a98-8985-407d7400bede&lt;/RelatesTo&gt;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&lt;wsu:Created&gt;2015-01-16T16:55:52Z&lt;/wsu:Created&gt;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&lt;wsu:Expires&gt;2015-01-16T17:00:52Z&lt;/wsu:Expires&gt;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82" w:name="_Toc173420588"/>
      <w:bookmarkStart w:id="283" w:name="_Toc438993576"/>
      <w:r>
        <w:rPr>
          <w:lang w:val="it-IT"/>
        </w:rPr>
        <w:t>Web Service: getReadingAgreement</w:t>
      </w:r>
      <w:bookmarkEnd w:id="282"/>
      <w:bookmarkEnd w:id="283"/>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NotBefore="2014-07-18T10:08:22.676Z" NotOnOrAfter="2014-07-18T11:08:22.676Z"/&gt;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AuthnInstant="2014-07-18T10:08:23.335Z"&gt;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NotBefore="2014-07-18T10:08:23.346Z" NotOnOrAfter="2014-07-19T02:48:23.346Z"/&gt;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NotBefore="2014-07-18T10:08:23.348Z" NotOnOrAfter="2014-07-18T11:08:23.348Z"/&gt;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rFonts w:ascii="Courier New" w:hAnsi="Courier New"/>
          <w:sz w:val="14"/>
        </w:rPr>
        <w:t>&lt;/S:Envelope&gt;</w:t>
      </w:r>
      <w:r>
        <w:rPr>
          <w:rFonts w:cs="Courier New" w:ascii="Courier New" w:hAnsi="Courier New"/>
          <w:sz w:val="14"/>
          <w:szCs w:val="14"/>
        </w:rPr>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tab/>
        <w:t>Response relativa alla chiamata  precedente per assistito che ha già espresso il consenso:</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&lt;wsu:Created&gt;2015-01-16T16:58:49Z&lt;/wsu:Created&gt;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&lt;wsu:Expires&gt;2015-01-16T17:03:49Z&lt;/wsu:Expires&gt;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w:t>
      </w:r>
      <w:r>
        <w:rPr>
          <w:rFonts w:cs="Courier New" w:ascii="Courier New" w:hAnsi="Courier New"/>
          <w:sz w:val="14"/>
          <w:szCs w:val="14"/>
          <w:lang w:val="en-US"/>
        </w:rPr>
        <w:t>true</w:t>
      </w:r>
      <w:r>
        <w:rPr>
          <w:rFonts w:ascii="Courier New" w:hAnsi="Courier New"/>
          <w:sz w:val="14"/>
          <w:lang w:val="en-US"/>
        </w:rPr>
        <w:t>&lt;/ns2:agreement&gt;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lang w:val="en-US"/>
        </w:rPr>
      </w:pPr>
      <w:r>
        <w:rPr>
          <w:rFonts w:ascii="Courier New" w:hAnsi="Courier New"/>
          <w:color w:val="7F0055"/>
          <w:sz w:val="14"/>
          <w:lang w:val="en-US"/>
        </w:rPr>
      </w:r>
    </w:p>
    <w:p>
      <w:pPr>
        <w:pStyle w:val="Normal"/>
        <w:rPr/>
      </w:pPr>
      <w:r>
        <w:rPr/>
        <w:t>Response relativa alla chiamata  precedente per assistito che non ha mai espresso: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rPr>
      </w:pPr>
      <w:r>
        <w:rPr>
          <w:rFonts w:cs="Courier New" w:ascii="Courier New" w:hAnsi="Courier New"/>
          <w:color w:val="7F0055"/>
          <w:sz w:val="14"/>
          <w:szCs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w:t>
      </w:r>
      <w:r>
        <w:rPr>
          <w:rFonts w:cs="Courier New" w:ascii="Courier New" w:hAnsi="Courier New"/>
          <w:sz w:val="14"/>
          <w:szCs w:val="14"/>
          <w:lang w:val="en-US"/>
        </w:rPr>
        <w:t>16T16:58:49Z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w:t>
      </w:r>
      <w:r>
        <w:rPr>
          <w:rFonts w:cs="Courier New" w:ascii="Courier New" w:hAnsi="Courier New"/>
          <w:sz w:val="14"/>
          <w:szCs w:val="14"/>
          <w:lang w:val="en-US"/>
        </w:rPr>
        <w:t>03:49Z</w:t>
      </w:r>
      <w:r>
        <w:rPr>
          <w:rFonts w:ascii="Courier New" w:hAnsi="Courier New"/>
          <w:sz w:val="14"/>
          <w:lang w:val="en-US"/>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agreement&gt;none&lt;/</w:t>
      </w:r>
      <w:r>
        <w:rPr>
          <w:rFonts w:ascii="Courier New" w:hAnsi="Courier New"/>
          <w:sz w:val="14"/>
          <w:lang w:val="en-US"/>
        </w:rPr>
        <w: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rPr/>
      </w:pPr>
      <w:r>
        <w:rPr/>
        <w:t>Response relativa alla chiamata  precedente per assistito che ha negato il consenso: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rPr>
      </w:pPr>
      <w:r>
        <w:rPr>
          <w:rFonts w:ascii="Courier New" w:hAnsi="Courier New"/>
          <w:color w:val="7F0055"/>
          <w:sz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t>
      </w:r>
      <w:r>
        <w:rPr>
          <w:rFonts w:cs="Courier New" w:ascii="Courier New" w:hAnsi="Courier New"/>
          <w:sz w:val="14"/>
          <w:szCs w:val="14"/>
          <w:lang w:val="en-US"/>
        </w:rPr>
        <w:t>wsse</w:t>
      </w:r>
      <w:r>
        <w:rPr>
          <w:rFonts w:ascii="Courier New" w:hAnsi="Courier New"/>
          <w:sz w:val="14"/>
          <w:lang w:val="en-US"/>
        </w:rPr>
        <w:t>="http://docs.oasis-open.org/wss/2004/01/oasis-200401-wss-wssecurity-</w:t>
      </w:r>
      <w:r>
        <w:rPr>
          <w:rFonts w:cs="Courier New" w:ascii="Courier New" w:hAnsi="Courier New"/>
          <w:sz w:val="14"/>
          <w:szCs w:val="14"/>
          <w:lang w:val="en-US"/>
        </w:rPr>
        <w:t>secext-1.0.xsd</w:t>
      </w:r>
      <w:r>
        <w:rPr>
          <w:rFonts w:ascii="Courier New" w:hAnsi="Courier New"/>
          <w:sz w:val="14"/>
          <w:lang w:val="en-US"/>
        </w:rPr>
        <w:t>"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cs="Courier New" w:ascii="Courier New" w:hAnsi="Courier New"/>
          <w:sz w:val="14"/>
          <w:szCs w:val="14"/>
          <w:lang w:val="en-US"/>
        </w:rPr>
        <w:t>getReadingAgreementResponse</w:t>
      </w:r>
      <w:r>
        <w:rPr>
          <w:rFonts w:ascii="Courier New" w:hAnsi="Courier New"/>
          <w:sz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w:t>
      </w:r>
      <w:r>
        <w:rPr>
          <w:rFonts w:cs="Courier New" w:ascii="Courier New" w:hAnsi="Courier New"/>
          <w:sz w:val="14"/>
          <w:szCs w:val="14"/>
          <w:lang w:val="en-US"/>
        </w:rPr>
        <w:t>fce8d588-d6dc-47d7-9aba-515a80c80abd</w:t>
      </w:r>
      <w:r>
        <w:rPr>
          <w:rFonts w:ascii="Courier New" w:hAnsi="Courier New"/>
          <w:sz w:val="14"/>
          <w:lang w:val="en-US"/>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w:t>
      </w:r>
      <w:r>
        <w:rPr>
          <w:rFonts w:cs="Courier New" w:ascii="Courier New" w:hAnsi="Courier New"/>
          <w:sz w:val="14"/>
          <w:szCs w:val="14"/>
        </w:rPr>
        <w:t>fce4684c-fbb8-4ee2-af0c-96c2c8308e72</w:t>
      </w:r>
      <w:r>
        <w:rPr>
          <w:rFonts w:ascii="Courier New" w:hAnsi="Courier New"/>
          <w:sz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w:t>
      </w:r>
      <w:r>
        <w:rPr>
          <w:rFonts w:cs="Courier New" w:ascii="Courier New" w:hAnsi="Courier New"/>
          <w:sz w:val="14"/>
          <w:szCs w:val="14"/>
          <w:lang w:val="en-US"/>
        </w:rPr>
        <w:t>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w:t>
      </w:r>
      <w:r>
        <w:rPr>
          <w:rFonts w:cs="Courier New" w:ascii="Courier New" w:hAnsi="Courier New"/>
          <w:sz w:val="14"/>
          <w:szCs w:val="14"/>
          <w:lang w:val="en-US"/>
        </w:rPr>
        <w:t>03:49Z</w:t>
      </w:r>
      <w:r>
        <w:rPr>
          <w:rFonts w:ascii="Courier New" w:hAnsi="Courier New"/>
          <w:sz w:val="14"/>
          <w:lang w:val="en-US"/>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 xml:space="preserv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agreement&gt;false</w:t>
      </w:r>
      <w:r>
        <w:rPr>
          <w:rFonts w:ascii="Courier New" w:hAnsi="Courier New"/>
          <w:sz w:val="14"/>
          <w:lang w:val="en-US"/>
        </w:rPr>
        <w:t>&lt;/ns2: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lang w:val="en-US"/>
        </w:rPr>
      </w:pPr>
      <w:r>
        <w:rPr>
          <w:lang w:val="en-US"/>
        </w:rPr>
      </w:r>
    </w:p>
    <w:p>
      <w:pPr>
        <w:pStyle w:val="Normal"/>
        <w:rPr>
          <w:lang w:val="en-US"/>
        </w:rPr>
      </w:pPr>
      <w:r>
        <w:rPr>
          <w:lang w:val="en-US"/>
        </w:rPr>
      </w:r>
    </w:p>
    <w:p>
      <w:pPr>
        <w:pStyle w:val="Heading2"/>
        <w:rPr>
          <w:lang w:val="it-IT"/>
        </w:rPr>
      </w:pPr>
      <w:bookmarkStart w:id="284" w:name="_Toc173420589"/>
      <w:r>
        <w:rPr>
          <w:lang w:val="it-IT"/>
        </w:rPr>
        <w:t>Web Service: blindDocument</w:t>
      </w:r>
      <w:bookmarkEnd w:id="28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xmlns:soapenv=</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xmlns:fse=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w:t>
      </w:r>
      <w:r>
        <w:rPr>
          <w:rFonts w:cs="Courier New" w:ascii="Courier New" w:hAnsi="Courier New"/>
          <w:color w:val="000000"/>
          <w:sz w:val="14"/>
          <w:szCs w:val="14"/>
          <w:lang w:val="en-US"/>
        </w:rPr>
        <w:t xml:space="preserve"> xmlns:wsa=</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"2014-07-14T10:00:02.589Z"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"2014-07-14T10:00:01.807Z"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"2014-07-14T11:00:01.807Z"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"2014-07-14T10:00:02.585Z"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"https://wsit-virtasl.rmmg.rsr.rupar.puglia.it:8181/aslba/IDocumentService"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blindDocument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"2014-07-14T10:00:02.598Z"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2014-09-29t12:07:00+01</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r>
        <w:rPr>
          <w:rFonts w:cs="Courier New" w:ascii="Courier New" w:hAnsi="Courier New"/>
          <w:color w:val="000000"/>
          <w:sz w:val="14"/>
          <w:szCs w:val="14"/>
        </w:rPr>
        <w:t xml:space="preserve"> patientId</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r>
        <w:rPr>
          <w:rFonts w:cs="Courier New" w:ascii="Courier New" w:hAnsi="Courier New"/>
          <w:color w:val="000000"/>
          <w:sz w:val="14"/>
          <w:szCs w:val="14"/>
        </w:rPr>
        <w:t>urn:uuid:75914ff3-2484-4c3c-a004-214924265db5</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r>
        <w:rPr>
          <w:rFonts w:cs="Courier New" w:ascii="Courier New" w:hAnsi="Courier New"/>
          <w:color w:val="000000"/>
          <w:sz w:val="14"/>
          <w:szCs w:val="14"/>
          <w:lang w:val="en-US"/>
        </w:rPr>
        <w:t>IT-75</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r>
        <w:rPr>
          <w:rFonts w:cs="Courier New" w:ascii="Courier New" w:hAnsi="Courier New"/>
          <w:color w:val="000000"/>
          <w:sz w:val="14"/>
          <w:szCs w:val="14"/>
        </w:rPr>
        <w:t xml:space="preserve">operatorId </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documentType&gt;</w:t>
      </w:r>
      <w:r>
        <w:rPr>
          <w:rFonts w:cs="Courier New" w:ascii="Courier New" w:hAnsi="Courier New"/>
          <w:color w:val="000000"/>
          <w:sz w:val="14"/>
          <w:szCs w:val="14"/>
        </w:rPr>
        <w:t>29304-3</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documentType&gt;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r>
        <w:rPr>
          <w:rFonts w:cs="Courier New" w:ascii="Courier New" w:hAnsi="Courier New"/>
          <w:color w:val="000000"/>
          <w:sz w:val="14"/>
          <w:szCs w:val="14"/>
        </w:rPr>
        <w:t>true</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Envelope&gt;</w:t>
      </w:r>
    </w:p>
    <w:p>
      <w:pPr>
        <w:pStyle w:val="Normal"/>
        <w:tabs>
          <w:tab w:val="clear" w:pos="720"/>
          <w:tab w:val="left" w:pos="1311" w:leader="none"/>
        </w:tabs>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docs.oasis-open.org/wss/2004/01/oasis-200401-wss-wssecurity-secext-1.0.xsd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xmlns:ds=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www.w3.org/2000/09/xmldsig</w:t>
      </w:r>
      <w:r>
        <w:rPr>
          <w:rFonts w:cs="Courier New" w:ascii="Courier New" w:hAnsi="Courier New"/>
          <w:b/>
          <w:bCs/>
          <w:color w:val="7F0055"/>
          <w:sz w:val="14"/>
          <w:szCs w:val="14"/>
          <w:lang w:val="en-US"/>
        </w:rPr>
        <w:t>#</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xmlns:exc14n=</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www.w3.org/2001/10/xml-exc-c14n</w:t>
      </w:r>
      <w:r>
        <w:rPr>
          <w:rFonts w:cs="Courier New" w:ascii="Courier New" w:hAnsi="Courier New"/>
          <w:b/>
          <w:bCs/>
          <w:color w:val="7F0055"/>
          <w:sz w:val="14"/>
          <w:szCs w:val="14"/>
          <w:lang w:val="en-US"/>
        </w:rPr>
        <w:t>#</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&lt;Action</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http://www.sist.puglia.it/Schemas/PDD_SIST/SCATEL/FSE/IGestoreConsenso/blindDocumentResponse</w:t>
      </w:r>
      <w:r>
        <w:rPr>
          <w:rFonts w:cs="Courier New" w:ascii="Courier New" w:hAnsi="Courier New"/>
          <w:color w:val="7F0055"/>
          <w:sz w:val="14"/>
          <w:szCs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&lt;MessageID</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urn:uuid:3cf79dd8-328a-4047-b135-68132c8c5a54</w:t>
      </w:r>
      <w:r>
        <w:rPr>
          <w:rFonts w:cs="Courier New" w:ascii="Courier New" w:hAnsi="Courier New"/>
          <w:color w:val="7F0055"/>
          <w:sz w:val="14"/>
          <w:szCs w:val="14"/>
          <w:lang w:val="en-US"/>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&lt;To</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http://www.w3.org/2005/08/addressing/anonymous</w:t>
      </w:r>
      <w:r>
        <w:rPr>
          <w:rFonts w:cs="Courier New" w:ascii="Courier New" w:hAnsi="Courier New"/>
          <w:color w:val="7F0055"/>
          <w:sz w:val="14"/>
          <w:szCs w:val="14"/>
          <w:lang w:val="en-US"/>
        </w:rPr>
        <w:t>&lt;/To&gt;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&lt;RelatesTo</w:t>
      </w:r>
      <w:r>
        <w:rPr>
          <w:rFonts w:cs="Courier New" w:ascii="Courier New" w:hAnsi="Courier New"/>
          <w:color w:val="000000"/>
          <w:sz w:val="14"/>
          <w:szCs w:val="14"/>
        </w:rPr>
        <w:t xml:space="preserve"> xmlns=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www.w3.org/2005/08/addressing</w:t>
      </w:r>
      <w:r>
        <w:rPr>
          <w:rFonts w:cs="Courier New" w:ascii="Courier New" w:hAnsi="Courier New"/>
          <w:color w:val="2A00FF"/>
          <w:sz w:val="14"/>
          <w:szCs w:val="14"/>
        </w:rPr>
        <w:t>"</w:t>
      </w:r>
      <w:r>
        <w:rPr>
          <w:rFonts w:cs="Courier New" w:ascii="Courier New" w:hAnsi="Courier New"/>
          <w:color w:val="7F0055"/>
          <w:sz w:val="14"/>
          <w:szCs w:val="14"/>
        </w:rPr>
        <w:t>&gt;</w:t>
      </w:r>
      <w:r>
        <w:rPr>
          <w:rFonts w:cs="Courier New" w:ascii="Courier New" w:hAnsi="Courier New"/>
          <w:color w:val="000000"/>
          <w:sz w:val="14"/>
          <w:szCs w:val="14"/>
        </w:rPr>
        <w:t>uuid:43db594f-2949-4a98-8985-407d7400bede</w:t>
      </w:r>
      <w:r>
        <w:rPr>
          <w:rFonts w:cs="Courier New" w:ascii="Courier New" w:hAnsi="Courier New"/>
          <w:color w:val="7F0055"/>
          <w:sz w:val="14"/>
          <w:szCs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w:t>
      </w:r>
      <w:r>
        <w:rPr>
          <w:rFonts w:cs="Courier New" w:ascii="Courier New" w:hAnsi="Courier New"/>
          <w:color w:val="000000"/>
          <w:sz w:val="14"/>
          <w:szCs w:val="14"/>
          <w:lang w:val="en-US"/>
        </w:rPr>
        <w:t xml:space="preserve"> S:mustUnderstand=</w:t>
      </w:r>
      <w:r>
        <w:rPr>
          <w:rFonts w:cs="Courier New" w:ascii="Courier New" w:hAnsi="Courier New"/>
          <w:color w:val="2A00FF"/>
          <w:sz w:val="14"/>
          <w:szCs w:val="14"/>
          <w:lang w:val="en-US"/>
        </w:rPr>
        <w:t>"1"</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"_3"</w:t>
      </w:r>
      <w:r>
        <w:rPr>
          <w:rFonts w:cs="Courier New" w:ascii="Courier New" w:hAnsi="Courier New"/>
          <w:color w:val="000000"/>
          <w:sz w:val="14"/>
          <w:szCs w:val="14"/>
          <w:lang w:val="en-US"/>
        </w:rPr>
        <w:t xml:space="preserve"> xmlns:ns16=</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docs.oasis-open.org/ws-sx/ws-secureconversation/200512</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xmlns:ns15=</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www.w3.org/2003/05/soap-envelope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r>
        <w:rPr>
          <w:rFonts w:cs="Courier New" w:ascii="Courier New" w:hAnsi="Courier New"/>
          <w:color w:val="000000"/>
          <w:sz w:val="14"/>
          <w:szCs w:val="14"/>
          <w:lang w:val="en-US"/>
        </w:rPr>
        <w:t>2015-01-16T16:55:52Z</w:t>
      </w: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Expires&gt;</w:t>
      </w:r>
      <w:r>
        <w:rPr>
          <w:rFonts w:cs="Courier New" w:ascii="Courier New" w:hAnsi="Courier New"/>
          <w:color w:val="000000"/>
          <w:sz w:val="14"/>
          <w:szCs w:val="14"/>
          <w:lang w:val="en-US"/>
        </w:rPr>
        <w:t>2015-01-16T17:00:52Z</w:t>
      </w: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ascii="Courier New" w:hAnsi="Courier New"/>
          <w:color w:val="7F0055"/>
          <w:sz w:val="14"/>
          <w:lang w:val="en-US"/>
        </w:rPr>
        <w:t>blindDocumentResponse</w:t>
      </w:r>
      <w:r>
        <w:rPr>
          <w:rFonts w:cs="Courier New" w:ascii="Courier New" w:hAnsi="Courier New"/>
          <w:color w:val="000000"/>
          <w:sz w:val="14"/>
          <w:szCs w:val="14"/>
          <w:lang w:val="en-US"/>
        </w:rPr>
        <w:t xml:space="preserve"> xmlns:ns2=</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r>
        <w:rPr>
          <w:rFonts w:cs="Courier New" w:ascii="Courier New" w:hAnsi="Courier New"/>
          <w:color w:val="000000"/>
          <w:sz w:val="14"/>
          <w:szCs w:val="14"/>
          <w:lang w:val="en-US"/>
        </w:rPr>
        <w:t>true</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blindDocumentResponse&gt;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w:t>
      </w:r>
      <w:r>
        <w:rPr>
          <w:rFonts w:cs="Courier New" w:ascii="Courier New" w:hAnsi="Courier New"/>
          <w:color w:val="7F0055"/>
          <w:sz w:val="14"/>
          <w:szCs w:val="14"/>
        </w:rPr>
        <w:t>Body&gt;</w:t>
      </w:r>
    </w:p>
    <w:p>
      <w:pPr>
        <w:pStyle w:val="Normal"/>
        <w:rPr/>
      </w:pPr>
      <w:r>
        <w:rPr/>
      </w:r>
    </w:p>
    <w:p>
      <w:pPr>
        <w:pStyle w:val="Normal"/>
        <w:rPr/>
      </w:pPr>
      <w:r>
        <w:rPr/>
      </w:r>
    </w:p>
    <w:p>
      <w:pPr>
        <w:pStyle w:val="Heading2"/>
        <w:rPr>
          <w:lang w:val="it-IT"/>
        </w:rPr>
      </w:pPr>
      <w:bookmarkStart w:id="285" w:name="_Toc173420590"/>
      <w:bookmarkStart w:id="286" w:name="_Toc438993580"/>
      <w:r>
        <w:rPr>
          <w:lang w:val="it-IT"/>
        </w:rPr>
        <w:t>Web Service: getAccessLog</w:t>
      </w:r>
      <w:bookmarkEnd w:id="285"/>
      <w:bookmarkEnd w:id="286"/>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xmlns:soapenv=</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xmlns:fse=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"2014-07-18T10:09:29.134Z"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"2014-07-18T10:09:29.132Z"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"2014-07-18T11:09:29.132Z"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"2014-07-18T10:09:29.134Z"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"2014-07-18T10:09:29.135Z"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"2014-07-19T02:49:29.135Z"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"http://138.66.188.4:9090/FSE/IAccessiService"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getAccessLog</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2014-09-29t12:07:00+01</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r>
        <w:rPr>
          <w:rFonts w:cs="Courier New" w:ascii="Courier New" w:hAnsi="Courier New"/>
          <w:color w:val="000000"/>
          <w:sz w:val="14"/>
          <w:szCs w:val="14"/>
          <w:lang w:val="en-US"/>
        </w:rPr>
        <w:t>2015-01-13T12:48:10+01:00</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3F7F59"/>
          <w:sz w:val="14"/>
          <w:szCs w:val="14"/>
          <w:lang w:val="en-US"/>
        </w:rPr>
        <w:t>&lt;!-- &lt;fse:operations&gt;setWritingAgreement&lt;/fse:operations&gt;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Envelope&gt;</w:t>
      </w:r>
    </w:p>
    <w:p>
      <w:pPr>
        <w:pStyle w:val="Normal"/>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&lt;getAccessLogResponse</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&lt;operatorCode&gt;</w:t>
      </w:r>
      <w:r>
        <w:rPr>
          <w:rFonts w:cs="Courier New" w:ascii="Courier New" w:hAnsi="Courier New"/>
          <w:color w:val="000000"/>
          <w:sz w:val="14"/>
          <w:szCs w:val="14"/>
        </w:rPr>
        <w:t xml:space="preserve">operatorId </w:t>
      </w:r>
      <w:r>
        <w:rPr>
          <w:rFonts w:cs="Courier New" w:ascii="Courier New" w:hAnsi="Courier New"/>
          <w:color w:val="7F0055"/>
          <w:sz w:val="14"/>
          <w:szCs w:val="14"/>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2015-01-20T09:51:34+01:00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getAccessPolicies</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2015-01-20T09:51:21+01:00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setWritingAgreement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è stato revocato il consenso all'alimentazione.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2015-01-20T09:50:56+01:00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getAccessPolicies</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2015-01-20T09:43:56+01:00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addDocument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L'assistito non ha espresso il consenso all'alimentazione sul proprio FSE.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&lt;documentType&gt;</w:t>
      </w:r>
      <w:r>
        <w:rPr>
          <w:rFonts w:cs="Courier New" w:ascii="Courier New" w:hAnsi="Courier New"/>
          <w:color w:val="000000"/>
          <w:sz w:val="14"/>
          <w:szCs w:val="14"/>
        </w:rPr>
        <w:t>29304-3</w:t>
      </w:r>
      <w:r>
        <w:rPr>
          <w:rFonts w:cs="Courier New" w:ascii="Courier New" w:hAnsi="Courier New"/>
          <w:color w:val="7F0055"/>
          <w:sz w:val="14"/>
          <w:szCs w:val="14"/>
        </w:rPr>
        <w:t>&lt;/documentType&gt;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2015-01-20T09:43:41+01:00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queryDocument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L'assunzione di responsabilita' non deve essere settata per lo scopo di Cura.</w:t>
      </w:r>
      <w:r>
        <w:rPr>
          <w:rFonts w:cs="Courier New" w:ascii="Courier New" w:hAnsi="Courier New"/>
          <w:color w:val="7F0055"/>
          <w:sz w:val="14"/>
          <w:szCs w:val="14"/>
        </w:rPr>
        <w:t>&lt;/description&gt;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&lt;/getAccessLogResponse&gt;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Envelope&gt;</w:t>
      </w:r>
    </w:p>
    <w:p>
      <w:pPr>
        <w:pStyle w:val="Normal"/>
        <w:rPr>
          <w:lang w:val="en-US"/>
        </w:rPr>
      </w:pPr>
      <w:r>
        <w:rPr>
          <w:lang w:val="en-US"/>
        </w:rPr>
      </w:r>
    </w:p>
    <w:p>
      <w:pPr>
        <w:pStyle w:val="Heading2"/>
        <w:rPr>
          <w:lang w:val="it-IT"/>
        </w:rPr>
      </w:pPr>
      <w:bookmarkStart w:id="287" w:name="_Toc173420591"/>
      <w:r>
        <w:rPr/>
        <w:t>Web Service: getPreviousAgreement</w:t>
      </w:r>
      <w:bookmarkEnd w:id="287"/>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jc w:val="both"/>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Heading2"/>
        <w:rPr>
          <w:lang w:val="it-IT"/>
        </w:rPr>
      </w:pPr>
      <w:bookmarkStart w:id="288" w:name="_Toc173420592"/>
      <w:r>
        <w:rPr/>
        <w:t>Web Service: setPreviousAgreement</w:t>
      </w:r>
      <w:bookmarkEnd w:id="288"/>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keepLines w:val="false"/>
        <w:numPr>
          <w:ilvl w:val="1"/>
          <w:numId w:val="162"/>
        </w:numPr>
        <w:spacing w:lineRule="auto" w:line="240"/>
        <w:ind w:hanging="0" w:left="0"/>
        <w:rPr>
          <w:rFonts w:eastAsia="SimSun"/>
        </w:rPr>
      </w:pPr>
      <w:bookmarkStart w:id="289" w:name="_Toc173420593"/>
      <w:r>
        <w:rPr>
          <w:rFonts w:eastAsia="SimSun"/>
          <w:lang w:val="en-US"/>
        </w:rPr>
        <w:t>13.15.</w:t>
        <w:tab/>
      </w:r>
      <w:r>
        <w:rPr>
          <w:rFonts w:eastAsia="SimSun"/>
        </w:rPr>
        <w:t>Web Service: getAgreements</w:t>
      </w:r>
      <w:bookmarkEnd w:id="289"/>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&lt;soapenv:Header xmlns:saml="urn:oasis:names:tc:SAML:2.0:assertion"&gt;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AuthnInstant="2014-07-14T10:00:02.585Z"&gt;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&lt;/saml:Subject&gt;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&lt;/soapenv:Envelope&gt;</w:t>
      </w:r>
    </w:p>
    <w:p>
      <w:pPr>
        <w:pStyle w:val="Normal"/>
        <w:rPr>
          <w:lang w:val="en-US"/>
        </w:rPr>
      </w:pPr>
      <w:r>
        <w:rPr>
          <w:lang w:val="en-US"/>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xmlns="http://www.w3.org/2005/08/addressing"&gt;urn:uuid:a4f5e26d-7855-4616-bd8b-e0d42a1f3672&lt;/RelatesTo&gt;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&lt;name&gt;Pregresso&lt;/name&gt;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&lt;isInformativaAccettata&gt;false&lt;/isInformativaAccettata&gt;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&lt;/soap:Envelope&gt;</w:t>
      </w:r>
    </w:p>
    <w:p>
      <w:pPr>
        <w:pStyle w:val="Normal"/>
        <w:rPr>
          <w:lang w:val="en-US"/>
        </w:rPr>
      </w:pPr>
      <w:r>
        <w:rPr>
          <w:lang w:val="en-US"/>
        </w:rPr>
      </w:r>
    </w:p>
    <w:p>
      <w:pPr>
        <w:pStyle w:val="Heading2"/>
        <w:keepLines w:val="false"/>
        <w:numPr>
          <w:ilvl w:val="1"/>
          <w:numId w:val="163"/>
        </w:numPr>
        <w:spacing w:lineRule="auto" w:line="240"/>
        <w:ind w:hanging="0" w:left="0"/>
        <w:rPr>
          <w:rFonts w:eastAsia="SimSun"/>
        </w:rPr>
      </w:pPr>
      <w:bookmarkStart w:id="290" w:name="_Toc173420594"/>
      <w:r>
        <w:rPr>
          <w:rFonts w:eastAsia="SimSun"/>
          <w:lang w:val="en-US"/>
        </w:rPr>
        <w:t>13.16.</w:t>
        <w:tab/>
      </w:r>
      <w:r>
        <w:rPr>
          <w:rFonts w:eastAsia="SimSun"/>
        </w:rPr>
        <w:t>Web Service: setDisclosure</w:t>
      </w:r>
      <w:bookmarkEnd w:id="290"/>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&lt;saml:NameID&gt;ENGSIST&lt;/saml:NameID&gt;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&lt;fse:agreement&gt;true&lt;/fse:agreement&gt;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&lt;/soapenv:Envelope&gt;</w:t>
      </w:r>
    </w:p>
    <w:p>
      <w:pPr>
        <w:pStyle w:val="Normal"/>
        <w:rPr>
          <w:lang w:val="en-US"/>
        </w:rPr>
      </w:pPr>
      <w:r>
        <w:rPr>
          <w:lang w:val="en-US"/>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&lt;RelatesTo xmlns="http://www.w3.org/2005/08/addressing"&gt;&lt;/RelatesTo&gt;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&lt;result&gt;true&lt;/result&gt;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2"/>
        <w:keepLines w:val="false"/>
        <w:numPr>
          <w:ilvl w:val="1"/>
          <w:numId w:val="164"/>
        </w:numPr>
        <w:spacing w:lineRule="auto" w:line="240"/>
        <w:ind w:hanging="0" w:left="0"/>
        <w:rPr>
          <w:rFonts w:eastAsia="SimSun"/>
          <w:lang w:val="it-IT"/>
        </w:rPr>
      </w:pPr>
      <w:bookmarkStart w:id="291" w:name="_Toc173420595"/>
      <w:r>
        <w:rPr>
          <w:rFonts w:eastAsia="SimSun"/>
          <w:lang w:val="en-US"/>
        </w:rPr>
        <w:t>13.17.</w:t>
        <w:tab/>
      </w:r>
      <w:r>
        <w:rPr>
          <w:rFonts w:eastAsia="SimSun"/>
        </w:rPr>
        <w:t>Web Service: set</w:t>
      </w:r>
      <w:r>
        <w:rPr>
          <w:rFonts w:eastAsia="SimSun"/>
          <w:lang w:val="it-IT"/>
        </w:rPr>
        <w:t>Agreements</w:t>
      </w:r>
      <w:bookmarkEnd w:id="291"/>
    </w:p>
    <w:p>
      <w:pPr>
        <w:pStyle w:val="Normal"/>
        <w:rPr>
          <w:rFonts w:eastAsia="SimSun"/>
          <w:lang w:eastAsia="x-none"/>
        </w:rPr>
      </w:pPr>
      <w:r>
        <w:rPr>
          <w:rFonts w:eastAsia="SimSun"/>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 xmlns:saml="urn:oasis:names:tc:SAML:2.0:assertion"&gt;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&lt;a:MessageID&gt;urn:uuid:a1578248-d351-47f9-b975-437353d3a55b&lt;/a:MessageID&gt;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&lt;a:To&gt;https://wsit-virtasl.rmmg.rsr.rupar.puglia.it:8181/aslba/IDocumentService&lt;/a:To&gt;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 Decision="Permit" Resource="https://pddasl-coll.rmmg.rsr.rupar.puglia.it:8181/aslba/IDocumentService/queryDocument"&gt;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xsi:type="xs:string"&gt;PROFIM&lt;/saml:AttributeValue&gt;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xsi:type="xs:string"&gt;CGM&lt;/saml:AttributeValue&gt;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xsi:type="xs:string"&gt;726243269XX726243269&lt;/saml:AttributeValue&gt;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xsi:type="xs:string"&gt;2016-03-29T16:38:04+01&lt;/saml:AttributeValue&gt;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xsi:type="xs:string"&gt;Yla9ruDdcDCwU9MNBduRkspAz1w=&lt;/saml:AttributeValue&gt;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xsi:type="xs:string"&gt;CMRVCN72B01H645S&lt;/saml:AttributeValue&gt;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xsi:type="xs:string"&gt;RIS000043&lt;/saml:AttributeValue&gt;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Name="urn:oasis:names:tc:xspa:1.0:environment:locality"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xsi:type="xs:string"&gt;Codice Regionale studio Medico&lt;/saml:AttributeValue&gt;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&lt;patientCode&gt;SJDGRL07R23B936O&lt;/patientCode&gt;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&lt;id&gt;C1&lt;/id&gt;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&lt;date&gt;2019-03-22T11:18:28+0200&lt;/date&gt;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ab/>
        <w:tab/>
        <w:tab/>
        <w:t xml:space="preserve">   &lt;consenso&gt;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 xml:space="preserve">                  </w:t>
      </w:r>
      <w:r>
        <w:rPr>
          <w:rFonts w:ascii="Courier New" w:hAnsi="Courier New"/>
          <w:sz w:val="14"/>
        </w:rPr>
        <w:t>&lt;id&gt;C2&lt;/id&gt;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&lt;date&gt;2019-03-22T11:18:28+0200&lt;/date&gt;</w:t>
      </w:r>
    </w:p>
    <w:p>
      <w:pPr>
        <w:pStyle w:val="Normal"/>
        <w:keepLines w:val="false"/>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&lt;id&gt;C5&lt;/id&gt;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&lt;id&gt;C6&lt;/id&gt;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&lt;id&gt;C7&lt;/id&gt;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&lt;id&gt;C8&lt;/id&gt;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&lt;name&gt;Profilassi&lt;/name&gt;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 xml:space="preserve">&lt;/consensoList&gt;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1"/>
        <w:rPr>
          <w:lang w:val="it-IT"/>
        </w:rPr>
      </w:pPr>
      <w:bookmarkStart w:id="292" w:name="_Toc173420596"/>
      <w:r>
        <w:rPr>
          <w:lang w:val="it-IT"/>
        </w:rPr>
        <w:t>Appendice E – Scenari di integrazione Ciclo di Vita Prescrittivo Ricetta Bianca</w:t>
      </w:r>
      <w:bookmarkEnd w:id="292"/>
    </w:p>
    <w:p>
      <w:pPr>
        <w:pStyle w:val="Heading2"/>
        <w:rPr>
          <w:lang w:val="it-IT"/>
        </w:rPr>
      </w:pPr>
      <w:bookmarkStart w:id="293" w:name="_Toc173420597"/>
      <w:r>
        <w:rPr>
          <w:lang w:val="it-IT"/>
        </w:rPr>
        <w:t>Scenari di integrazione per cartelle cliniche</w:t>
      </w:r>
      <w:bookmarkEnd w:id="293"/>
    </w:p>
    <w:p>
      <w:pPr>
        <w:pStyle w:val="Normal"/>
        <w:rPr>
          <w:lang w:eastAsia="x-none"/>
        </w:rPr>
      </w:pPr>
      <w:r>
        <w:rPr>
          <w:lang w:eastAsia="x-none"/>
        </w:rPr>
      </w:r>
    </w:p>
    <w:p>
      <w:pPr>
        <w:pStyle w:val="Heading3"/>
        <w:rPr/>
      </w:pPr>
      <w:bookmarkStart w:id="294" w:name="_Toc173420598"/>
      <w:r>
        <w:rPr/>
        <w:t>Emettere prescrizione NSSN</w:t>
      </w:r>
      <w:bookmarkEnd w:id="294"/>
    </w:p>
    <w:p>
      <w:pPr>
        <w:pStyle w:val="Normal"/>
        <w:rPr>
          <w:b/>
          <w:bCs/>
          <w:lang w:eastAsia="x-none"/>
        </w:rPr>
      </w:pPr>
      <w:r>
        <w:rPr>
          <w:b/>
          <w:bCs/>
          <w:lang w:eastAsia="x-none"/>
        </w:rPr>
        <w:t>Emettere prescrizione su ricetta bianca (interazione SIST-SAC)</w:t>
      </w:r>
    </w:p>
    <w:p>
      <w:pPr>
        <w:pStyle w:val="Normal"/>
        <w:numPr>
          <w:ilvl w:val="0"/>
          <w:numId w:val="105"/>
        </w:numPr>
        <w:ind w:hanging="207" w:left="1418"/>
        <w:rPr/>
      </w:pPr>
      <w:r>
        <w:rPr/>
        <w:t>Inizio</w:t>
      </w:r>
    </w:p>
    <w:p>
      <w:pPr>
        <w:pStyle w:val="Normal"/>
        <w:numPr>
          <w:ilvl w:val="0"/>
          <w:numId w:val="105"/>
        </w:numPr>
        <w:ind w:hanging="207" w:left="1418"/>
        <w:rPr/>
      </w:pPr>
      <w:r>
        <w:rPr/>
        <w:t>Il software di cartella clinica invoca il servizio CVPNSSN.chkPrescrizioneNSSN</w:t>
      </w:r>
    </w:p>
    <w:p>
      <w:pPr>
        <w:pStyle w:val="Normal"/>
        <w:numPr>
          <w:ilvl w:val="0"/>
          <w:numId w:val="105"/>
        </w:numPr>
        <w:ind w:hanging="207" w:left="1418"/>
        <w:rPr/>
      </w:pPr>
      <w:r>
        <w:rPr/>
        <w:t>Il SIST invoca il servizio SAC InvioPrescrittoRicettaBianca e restituisce l’identificativo della ricetta (NRBE)</w:t>
      </w:r>
    </w:p>
    <w:p>
      <w:pPr>
        <w:pStyle w:val="Normal"/>
        <w:numPr>
          <w:ilvl w:val="0"/>
          <w:numId w:val="105"/>
        </w:numPr>
        <w:ind w:hanging="207" w:left="1418"/>
        <w:rPr/>
      </w:pPr>
      <w:r>
        <w:rPr>
          <w:lang w:eastAsia="x-none"/>
        </w:rPr>
        <w:t>Il software di cartella clinica genera il CDA di Prescrizione secondo quanto specificato dal documento CDA2_Prescrizione_NSSN.pdf</w:t>
      </w:r>
    </w:p>
    <w:p>
      <w:pPr>
        <w:pStyle w:val="Normal"/>
        <w:numPr>
          <w:ilvl w:val="0"/>
          <w:numId w:val="105"/>
        </w:numPr>
        <w:ind w:hanging="207" w:left="1418"/>
        <w:rPr/>
      </w:pPr>
      <w:r>
        <w:rPr>
          <w:lang w:eastAsia="x-none"/>
        </w:rPr>
        <w:t>Il medico firma il CDA generato</w:t>
      </w:r>
    </w:p>
    <w:p>
      <w:pPr>
        <w:pStyle w:val="Normal"/>
        <w:numPr>
          <w:ilvl w:val="0"/>
          <w:numId w:val="105"/>
        </w:numPr>
        <w:ind w:hanging="207" w:left="1418"/>
        <w:rPr/>
      </w:pPr>
      <w:r>
        <w:rPr>
          <w:lang w:eastAsia="x-none"/>
        </w:rPr>
        <w:t>Il software di cartella clinica invoca il servizio CVPNSSN.setRegistraPrescrizioneNSSN. Ai fini dell’integrazione con il FSE, devono essere specificate le seguenti informazioni:</w:t>
      </w:r>
    </w:p>
    <w:p>
      <w:pPr>
        <w:pStyle w:val="Normal"/>
        <w:ind w:left="1418"/>
        <w:rPr/>
      </w:pPr>
      <w:r>
        <w:rPr/>
      </w:r>
    </w:p>
    <w:p>
      <w:pPr>
        <w:pStyle w:val="Normal"/>
        <w:numPr>
          <w:ilvl w:val="0"/>
          <w:numId w:val="106"/>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0"/>
          <w:numId w:val="106"/>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jc w:val="both"/>
        <w:rPr/>
      </w:pPr>
      <w:r>
        <w:rPr/>
        <w:t>N: (Normal), questo livello di riservatezza può essere associato a documenti che non sono soggetti a maggior tutela dell’anonimato;</w:t>
      </w:r>
    </w:p>
    <w:p>
      <w:pPr>
        <w:pStyle w:val="Normal"/>
        <w:numPr>
          <w:ilvl w:val="2"/>
          <w:numId w:val="13"/>
        </w:numPr>
        <w:jc w:val="both"/>
        <w:rPr/>
      </w:pPr>
      <w:r>
        <w:rPr/>
        <w:t>V:(Very restricted), ricadono in questa categoria tutti i documenti contenenti dati soggetti a maggior tutela dell’anonimato.</w:t>
      </w:r>
    </w:p>
    <w:p>
      <w:pPr>
        <w:pStyle w:val="Normal"/>
        <w:ind w:left="1211"/>
        <w:jc w:val="both"/>
        <w:rPr/>
      </w:pPr>
      <w:r>
        <w:rPr/>
      </w:r>
    </w:p>
    <w:p>
      <w:pPr>
        <w:pStyle w:val="Normal"/>
        <w:jc w:val="both"/>
        <w:rPr/>
      </w:pPr>
      <w:r>
        <w:rPr/>
      </w:r>
    </w:p>
    <w:p>
      <w:pPr>
        <w:pStyle w:val="ListParagraph"/>
        <w:numPr>
          <w:ilvl w:val="0"/>
          <w:numId w:val="105"/>
        </w:numPr>
        <w:jc w:val="both"/>
        <w:rPr>
          <w:rFonts w:ascii="Times New Roman" w:hAnsi="Times New Roman" w:eastAsia="Times New Roman"/>
          <w:sz w:val="20"/>
          <w:szCs w:val="20"/>
          <w:lang w:val="en-US" w:eastAsia="x-none"/>
        </w:rPr>
      </w:pPr>
      <w:r>
        <w:rPr>
          <w:rFonts w:eastAsia="Times New Roman" w:ascii="Times New Roman" w:hAnsi="Times New Roman"/>
          <w:sz w:val="20"/>
          <w:szCs w:val="20"/>
          <w:lang w:val="en-US" w:eastAsia="x-none"/>
        </w:rPr>
        <w:t>Fine</w:t>
      </w:r>
    </w:p>
    <w:p>
      <w:pPr>
        <w:pStyle w:val="Heading3"/>
        <w:rPr/>
      </w:pPr>
      <w:bookmarkStart w:id="295" w:name="_Toc173420599"/>
      <w:r>
        <w:rPr/>
        <w:t>Annullare prescrizione NSSN</w:t>
      </w:r>
      <w:bookmarkEnd w:id="295"/>
    </w:p>
    <w:p>
      <w:pPr>
        <w:pStyle w:val="Normal"/>
        <w:rPr>
          <w:b/>
          <w:bCs/>
          <w:lang w:eastAsia="x-none"/>
        </w:rPr>
      </w:pPr>
      <w:r>
        <w:rPr>
          <w:b/>
          <w:bCs/>
          <w:lang w:eastAsia="x-none"/>
        </w:rPr>
        <w:t>Annullare prescrizione su ricetta bianca (interazione SIST-SAC)</w:t>
      </w:r>
    </w:p>
    <w:p>
      <w:pPr>
        <w:pStyle w:val="Normal"/>
        <w:numPr>
          <w:ilvl w:val="0"/>
          <w:numId w:val="107"/>
        </w:numPr>
        <w:ind w:hanging="207" w:left="1418"/>
        <w:rPr/>
      </w:pPr>
      <w:r>
        <w:rPr/>
        <w:t>Inizio</w:t>
      </w:r>
    </w:p>
    <w:p>
      <w:pPr>
        <w:pStyle w:val="Normal"/>
        <w:numPr>
          <w:ilvl w:val="0"/>
          <w:numId w:val="107"/>
        </w:numPr>
        <w:ind w:hanging="207" w:left="1418"/>
        <w:rPr/>
      </w:pPr>
      <w:r>
        <w:rPr/>
        <w:t>Il software di cartella clinica invoca il servizio CVPNSSN.setAnnullaPrescrizioneNSSN</w:t>
      </w:r>
    </w:p>
    <w:p>
      <w:pPr>
        <w:pStyle w:val="Normal"/>
        <w:numPr>
          <w:ilvl w:val="0"/>
          <w:numId w:val="107"/>
        </w:numPr>
        <w:ind w:hanging="207" w:left="1418"/>
        <w:rPr/>
      </w:pPr>
      <w:r>
        <w:rPr/>
        <w:t>Il SIST invoca il servizio SAC AnnullaPrescrittoRicettaBianca e restituisce l’esito dell’operazione</w:t>
      </w:r>
    </w:p>
    <w:p>
      <w:pPr>
        <w:pStyle w:val="Normal"/>
        <w:numPr>
          <w:ilvl w:val="0"/>
          <w:numId w:val="107"/>
        </w:numPr>
        <w:ind w:hanging="207" w:left="1418"/>
        <w:rPr/>
      </w:pPr>
      <w:r>
        <w:rPr/>
        <w:t>Il software di cartella clinica visualizza l’esito positivo dell’operazione o l’elenco delle anomalie riscontrate</w:t>
      </w:r>
    </w:p>
    <w:p>
      <w:pPr>
        <w:pStyle w:val="Normal"/>
        <w:numPr>
          <w:ilvl w:val="0"/>
          <w:numId w:val="107"/>
        </w:numPr>
        <w:ind w:hanging="207" w:left="1418"/>
        <w:rPr/>
      </w:pPr>
      <w:r>
        <w:rPr/>
        <w:t>Fine</w:t>
      </w:r>
    </w:p>
    <w:p>
      <w:pPr>
        <w:pStyle w:val="Normal"/>
        <w:ind w:left="1418"/>
        <w:rPr/>
      </w:pPr>
      <w:r>
        <w:rPr/>
      </w:r>
    </w:p>
    <w:p>
      <w:pPr>
        <w:pStyle w:val="Heading3"/>
        <w:rPr/>
      </w:pPr>
      <w:bookmarkStart w:id="296" w:name="_Toc173420600"/>
      <w:r>
        <w:rPr/>
        <w:t>Identificare prescrizione NSSN</w:t>
      </w:r>
      <w:bookmarkEnd w:id="296"/>
    </w:p>
    <w:p>
      <w:pPr>
        <w:pStyle w:val="Normal"/>
        <w:rPr>
          <w:b/>
          <w:bCs/>
          <w:u w:val="single"/>
          <w:lang w:eastAsia="x-none"/>
        </w:rPr>
      </w:pPr>
      <w:r>
        <w:rPr>
          <w:b/>
          <w:bCs/>
          <w:lang w:eastAsia="x-none"/>
        </w:rPr>
        <w:t>Identificare prescrizione su ricetta bianca (interazione SIST-SAC)</w:t>
      </w:r>
    </w:p>
    <w:p>
      <w:pPr>
        <w:pStyle w:val="Normal"/>
        <w:numPr>
          <w:ilvl w:val="0"/>
          <w:numId w:val="108"/>
        </w:numPr>
        <w:ind w:hanging="207" w:left="1418"/>
        <w:rPr/>
      </w:pPr>
      <w:r>
        <w:rPr/>
        <w:t>Inizio</w:t>
      </w:r>
    </w:p>
    <w:p>
      <w:pPr>
        <w:pStyle w:val="Normal"/>
        <w:numPr>
          <w:ilvl w:val="0"/>
          <w:numId w:val="108"/>
        </w:numPr>
        <w:ind w:hanging="207" w:left="1418"/>
        <w:rPr/>
      </w:pPr>
      <w:r>
        <w:rPr/>
        <w:t xml:space="preserve">Il software di cartella clinica invoca il servizio CVPNSSN.getPrescrizioneIdentificataNSSN </w:t>
      </w:r>
    </w:p>
    <w:p>
      <w:pPr>
        <w:pStyle w:val="Normal"/>
        <w:numPr>
          <w:ilvl w:val="0"/>
          <w:numId w:val="108"/>
        </w:numPr>
        <w:ind w:hanging="207" w:left="1418"/>
        <w:rPr/>
      </w:pPr>
      <w:r>
        <w:rPr/>
        <w:t>Il SIST procede all’identificazione della prescrizione, il sistema in caso di identificazione restituisce il CDA di prescrizione altrimenti i dati atomici.</w:t>
      </w:r>
    </w:p>
    <w:p>
      <w:pPr>
        <w:pStyle w:val="Normal"/>
        <w:numPr>
          <w:ilvl w:val="0"/>
          <w:numId w:val="108"/>
        </w:numPr>
        <w:ind w:hanging="207" w:left="1418"/>
        <w:rPr/>
      </w:pPr>
      <w:r>
        <w:rPr/>
        <w:t>Fine</w:t>
      </w:r>
    </w:p>
    <w:p>
      <w:pPr>
        <w:pStyle w:val="Normal"/>
        <w:rPr/>
      </w:pPr>
      <w:r>
        <w:rPr/>
      </w:r>
    </w:p>
    <w:p>
      <w:pPr>
        <w:pStyle w:val="Normal"/>
        <w:rPr>
          <w:lang w:val="en-US" w:eastAsia="x-none"/>
        </w:rPr>
      </w:pPr>
      <w:r>
        <w:rPr>
          <w:lang w:val="en-US" w:eastAsia="x-none"/>
        </w:rPr>
      </w:r>
    </w:p>
    <w:p>
      <w:pPr>
        <w:pStyle w:val="Heading2"/>
        <w:rPr>
          <w:lang w:val="it-IT"/>
        </w:rPr>
      </w:pPr>
      <w:bookmarkStart w:id="297" w:name="_Toc173420601"/>
      <w:r>
        <w:rPr>
          <w:lang w:val="it-IT"/>
        </w:rPr>
        <w:t>Scenari di integrazioneper gestionali di farmacie</w:t>
      </w:r>
      <w:bookmarkEnd w:id="297"/>
    </w:p>
    <w:p>
      <w:pPr>
        <w:pStyle w:val="Normal"/>
        <w:rPr>
          <w:lang w:eastAsia="x-none"/>
        </w:rPr>
      </w:pPr>
      <w:r>
        <w:rPr>
          <w:lang w:eastAsia="x-none"/>
        </w:rPr>
      </w:r>
    </w:p>
    <w:p>
      <w:pPr>
        <w:pStyle w:val="Heading3"/>
        <w:rPr/>
      </w:pPr>
      <w:bookmarkStart w:id="298" w:name="_Toc173420602"/>
      <w:r>
        <w:rPr/>
        <w:t>Erogare prescrizione farmaceutica NSSN</w:t>
      </w:r>
      <w:bookmarkEnd w:id="298"/>
    </w:p>
    <w:p>
      <w:pPr>
        <w:pStyle w:val="Normal"/>
        <w:rPr>
          <w:b/>
          <w:bCs/>
          <w:u w:val="single"/>
          <w:lang w:eastAsia="x-none"/>
        </w:rPr>
      </w:pPr>
      <w:r>
        <w:rPr>
          <w:b/>
        </w:rPr>
        <w:t xml:space="preserve">Erogare prescrizione farmaceutica </w:t>
      </w:r>
      <w:r>
        <w:rPr>
          <w:b/>
          <w:bCs/>
          <w:lang w:eastAsia="x-none"/>
        </w:rPr>
        <w:t>su ricetta bianca (interazione SIST-SAC)</w:t>
      </w:r>
    </w:p>
    <w:p>
      <w:pPr>
        <w:pStyle w:val="Normal"/>
        <w:numPr>
          <w:ilvl w:val="0"/>
          <w:numId w:val="109"/>
        </w:numPr>
        <w:rPr/>
      </w:pPr>
      <w:r>
        <w:rPr/>
        <w:t>Inizio</w:t>
      </w:r>
    </w:p>
    <w:p>
      <w:pPr>
        <w:pStyle w:val="Normal"/>
        <w:numPr>
          <w:ilvl w:val="0"/>
          <w:numId w:val="109"/>
        </w:numPr>
        <w:rPr/>
      </w:pPr>
      <w:r>
        <w:rPr/>
        <w:t xml:space="preserve">Il gestionale di farmacia invoca il servizio CVPNSSN. getPrescrizioneIdentificataNSSN, con tipo operazione = 1 </w:t>
      </w:r>
    </w:p>
    <w:p>
      <w:pPr>
        <w:pStyle w:val="Normal"/>
        <w:numPr>
          <w:ilvl w:val="0"/>
          <w:numId w:val="109"/>
        </w:numPr>
        <w:rPr/>
      </w:pPr>
      <w:r>
        <w:rPr/>
        <w:t xml:space="preserve">Il SIST individua la prescrizione, invocando il servizio SAC VisualizzaErogatoRicettaBianca e restituisce il CDA di prescrizione ed i dati atomici della ricetta. </w:t>
      </w:r>
    </w:p>
    <w:p>
      <w:pPr>
        <w:pStyle w:val="Normal"/>
        <w:numPr>
          <w:ilvl w:val="0"/>
          <w:numId w:val="109"/>
        </w:numPr>
        <w:rPr/>
      </w:pPr>
      <w:r>
        <w:rPr/>
        <w:t>Il gestionale di farmacia</w:t>
      </w:r>
      <w:r>
        <w:rPr>
          <w:lang w:eastAsia="x-none"/>
        </w:rPr>
        <w:t xml:space="preserve"> genera il CDA di Erogazione secondo quanto specificato dal documento CDA2_Erogazione_NSSN.pdf</w:t>
      </w:r>
    </w:p>
    <w:p>
      <w:pPr>
        <w:pStyle w:val="Normal"/>
        <w:numPr>
          <w:ilvl w:val="0"/>
          <w:numId w:val="109"/>
        </w:numPr>
        <w:rPr/>
      </w:pPr>
      <w:r>
        <w:rPr/>
        <w:t>Il gestionale di farmacia firma il CDA di erogazione</w:t>
      </w:r>
    </w:p>
    <w:p>
      <w:pPr>
        <w:pStyle w:val="Normal"/>
        <w:numPr>
          <w:ilvl w:val="0"/>
          <w:numId w:val="109"/>
        </w:numPr>
        <w:rPr/>
      </w:pPr>
      <w:r>
        <w:rPr/>
        <w:t>Il gestionale di farmacia invoca il servizio CVPNSSN. setRegistraErogazioneFarmNSSN</w:t>
      </w:r>
    </w:p>
    <w:p>
      <w:pPr>
        <w:pStyle w:val="Normal"/>
        <w:numPr>
          <w:ilvl w:val="0"/>
          <w:numId w:val="109"/>
        </w:numPr>
        <w:rPr/>
      </w:pPr>
      <w:r>
        <w:rPr/>
        <w:t>IL SIST invoca il servizio SAC InvioErogatoRicettaBianca e restituisce l’esito positivo dell’operazione o l’elenco delle anomalie.</w:t>
      </w:r>
    </w:p>
    <w:p>
      <w:pPr>
        <w:pStyle w:val="Normal"/>
        <w:numPr>
          <w:ilvl w:val="0"/>
          <w:numId w:val="109"/>
        </w:numPr>
        <w:rPr/>
      </w:pPr>
      <w:r>
        <w:rPr/>
        <w:t>Fine</w:t>
      </w:r>
    </w:p>
    <w:p>
      <w:pPr>
        <w:pStyle w:val="Normal"/>
        <w:rPr>
          <w:lang w:val="en-US" w:eastAsia="x-none"/>
        </w:rPr>
      </w:pPr>
      <w:r>
        <w:rPr>
          <w:lang w:val="en-US" w:eastAsia="x-none"/>
        </w:rPr>
      </w:r>
    </w:p>
    <w:p>
      <w:pPr>
        <w:pStyle w:val="Normal"/>
        <w:rPr>
          <w:lang w:val="en-US" w:eastAsia="x-none"/>
        </w:rPr>
      </w:pPr>
      <w:r>
        <w:rPr>
          <w:lang w:val="en-US" w:eastAsia="x-none"/>
        </w:rPr>
      </w:r>
    </w:p>
    <w:p>
      <w:pPr>
        <w:pStyle w:val="Heading3"/>
        <w:rPr>
          <w:lang w:val="it-IT"/>
        </w:rPr>
      </w:pPr>
      <w:bookmarkStart w:id="299" w:name="_Toc173420603"/>
      <w:r>
        <w:rPr>
          <w:lang w:val="it-IT"/>
        </w:rPr>
        <w:t>Rilascio della presa in carico di una ricetta NSSN</w:t>
      </w:r>
      <w:bookmarkEnd w:id="299"/>
    </w:p>
    <w:p>
      <w:pPr>
        <w:pStyle w:val="Normal"/>
        <w:rPr>
          <w:b/>
          <w:bCs/>
          <w:u w:val="single"/>
          <w:lang w:eastAsia="x-none"/>
        </w:rPr>
      </w:pPr>
      <w:r>
        <w:rPr>
          <w:b/>
        </w:rPr>
        <w:t>Rilascio presa in carico</w:t>
      </w:r>
      <w:r>
        <w:rPr>
          <w:b/>
          <w:bCs/>
          <w:lang w:eastAsia="x-none"/>
        </w:rPr>
        <w:t xml:space="preserve"> ricetta bianca (interazione SIST-SAC)</w:t>
      </w:r>
    </w:p>
    <w:p>
      <w:pPr>
        <w:pStyle w:val="Normal"/>
        <w:numPr>
          <w:ilvl w:val="0"/>
          <w:numId w:val="111"/>
        </w:numPr>
        <w:rPr/>
      </w:pPr>
      <w:r>
        <w:rPr/>
        <w:t>Inizio</w:t>
      </w:r>
    </w:p>
    <w:p>
      <w:pPr>
        <w:pStyle w:val="Normal"/>
        <w:numPr>
          <w:ilvl w:val="0"/>
          <w:numId w:val="111"/>
        </w:numPr>
        <w:rPr/>
      </w:pPr>
      <w:r>
        <w:rPr/>
        <w:t xml:space="preserve">Il gestionale di farmacia invoca il servizio CVPNSSN. getPrescrizioneIdentificataNSSN, con tipo operazione = 1 </w:t>
      </w:r>
    </w:p>
    <w:p>
      <w:pPr>
        <w:pStyle w:val="Normal"/>
        <w:numPr>
          <w:ilvl w:val="0"/>
          <w:numId w:val="111"/>
        </w:numPr>
        <w:rPr/>
      </w:pPr>
      <w:r>
        <w:rPr/>
        <w:t xml:space="preserve">Il SIST individua la prescrizione, invocando il servizio SAC VisualizzaErogatoRicettaBianca e restituisce il CDA di prescrizione ed i dati atomici della ricetta. </w:t>
      </w:r>
    </w:p>
    <w:p>
      <w:pPr>
        <w:pStyle w:val="Normal"/>
        <w:numPr>
          <w:ilvl w:val="0"/>
          <w:numId w:val="111"/>
        </w:numPr>
        <w:rPr/>
      </w:pPr>
      <w:r>
        <w:rPr/>
        <w:t>Il gestionale di farmacia invoca il servizio CVPNSSN. getPrescrizioneIdentificataNSSN, con tipo operazione = 3</w:t>
      </w:r>
    </w:p>
    <w:p>
      <w:pPr>
        <w:pStyle w:val="Normal"/>
        <w:numPr>
          <w:ilvl w:val="0"/>
          <w:numId w:val="111"/>
        </w:numPr>
        <w:ind w:hanging="207" w:left="1418"/>
        <w:rPr/>
      </w:pPr>
      <w:r>
        <w:rPr/>
        <w:t xml:space="preserve">   </w:t>
      </w:r>
      <w:r>
        <w:rPr/>
        <w:t>Il SIST individua la prescrizione, invocando il servizio SAC VisualizzaErogatoRicettaBianca e restituisce l’esito dell’operazione.</w:t>
      </w:r>
    </w:p>
    <w:p>
      <w:pPr>
        <w:pStyle w:val="Normal"/>
        <w:numPr>
          <w:ilvl w:val="0"/>
          <w:numId w:val="111"/>
        </w:numPr>
        <w:ind w:hanging="207" w:left="1418"/>
        <w:rPr/>
      </w:pPr>
      <w:r>
        <w:rPr/>
        <w:t>Fine</w:t>
      </w:r>
    </w:p>
    <w:p>
      <w:pPr>
        <w:pStyle w:val="Normal"/>
        <w:rPr>
          <w:lang w:val="en-US" w:eastAsia="x-none"/>
        </w:rPr>
      </w:pPr>
      <w:r>
        <w:rPr>
          <w:lang w:val="en-US" w:eastAsia="x-none"/>
        </w:rPr>
      </w:r>
    </w:p>
    <w:p>
      <w:pPr>
        <w:pStyle w:val="Heading3"/>
        <w:rPr/>
      </w:pPr>
      <w:bookmarkStart w:id="300" w:name="_Toc173420604"/>
      <w:r>
        <w:rPr/>
        <w:t>Annullare erogazione farmaceutica NSSN</w:t>
      </w:r>
      <w:bookmarkEnd w:id="300"/>
    </w:p>
    <w:p>
      <w:pPr>
        <w:pStyle w:val="Normal"/>
        <w:rPr>
          <w:b/>
          <w:bCs/>
          <w:u w:val="single"/>
          <w:lang w:eastAsia="x-none"/>
        </w:rPr>
      </w:pPr>
      <w:r>
        <w:rPr>
          <w:b/>
        </w:rPr>
        <w:t xml:space="preserve">Annullare Erogazione Farmaceutica </w:t>
      </w:r>
      <w:r>
        <w:rPr>
          <w:b/>
          <w:bCs/>
          <w:lang w:eastAsia="x-none"/>
        </w:rPr>
        <w:t>su ricetta bianca (interazione SIST-SAC)</w:t>
      </w:r>
    </w:p>
    <w:p>
      <w:pPr>
        <w:pStyle w:val="Normal"/>
        <w:numPr>
          <w:ilvl w:val="0"/>
          <w:numId w:val="110"/>
        </w:numPr>
        <w:rPr/>
      </w:pPr>
      <w:r>
        <w:rPr/>
        <w:t>Inizio</w:t>
      </w:r>
    </w:p>
    <w:p>
      <w:pPr>
        <w:pStyle w:val="Normal"/>
        <w:numPr>
          <w:ilvl w:val="0"/>
          <w:numId w:val="110"/>
        </w:numPr>
        <w:rPr/>
      </w:pPr>
      <w:r>
        <w:rPr/>
        <w:t>Il gestionale di farmacia invoca il servizio CVPNSSN.setAnnullaErogazioneFarmNSSN</w:t>
      </w:r>
    </w:p>
    <w:p>
      <w:pPr>
        <w:pStyle w:val="Normal"/>
        <w:numPr>
          <w:ilvl w:val="0"/>
          <w:numId w:val="110"/>
        </w:numPr>
        <w:rPr/>
      </w:pPr>
      <w:r>
        <w:rPr/>
        <w:t>Il SIST invoca il servizio SAC AnnullaErogatoRicettaBianca procede all’annullamento dell’erogazione negli arichivi SIST e SAC</w:t>
      </w:r>
    </w:p>
    <w:p>
      <w:pPr>
        <w:pStyle w:val="Normal"/>
        <w:numPr>
          <w:ilvl w:val="0"/>
          <w:numId w:val="110"/>
        </w:numPr>
        <w:rPr/>
      </w:pPr>
      <w:r>
        <w:rPr/>
        <w:t>Il gestionale di farmacia visualizza l’esito positivo dell’operazione o l’elenco delle anomalie riscontrate</w:t>
      </w:r>
    </w:p>
    <w:p>
      <w:pPr>
        <w:pStyle w:val="Normal"/>
        <w:numPr>
          <w:ilvl w:val="0"/>
          <w:numId w:val="110"/>
        </w:numPr>
        <w:rPr/>
      </w:pPr>
      <w:r>
        <w:rPr/>
        <w:t>Fine</w:t>
      </w:r>
    </w:p>
    <w:p>
      <w:pPr>
        <w:pStyle w:val="Normal"/>
        <w:ind w:left="1440"/>
        <w:rPr>
          <w:u w:val="single"/>
        </w:rPr>
      </w:pPr>
      <w:r>
        <w:rPr>
          <w:u w:val="single"/>
        </w:rPr>
      </w:r>
    </w:p>
    <w:p>
      <w:pPr>
        <w:pStyle w:val="Normal"/>
        <w:rPr>
          <w:lang w:val="en-US" w:eastAsia="x-none"/>
        </w:rPr>
      </w:pPr>
      <w:r>
        <w:rPr>
          <w:lang w:val="en-US" w:eastAsia="x-none"/>
        </w:rPr>
      </w:r>
    </w:p>
    <w:p>
      <w:pPr>
        <w:pStyle w:val="Heading3"/>
        <w:rPr/>
      </w:pPr>
      <w:bookmarkStart w:id="301" w:name="_Toc173420605"/>
      <w:r>
        <w:rPr/>
        <w:t>Sospendere erogazione farmaceutica NSSN</w:t>
      </w:r>
      <w:bookmarkEnd w:id="301"/>
    </w:p>
    <w:p>
      <w:pPr>
        <w:pStyle w:val="Normal"/>
        <w:rPr>
          <w:b/>
          <w:bCs/>
          <w:lang w:eastAsia="x-none"/>
        </w:rPr>
      </w:pPr>
      <w:r>
        <w:rPr>
          <w:b/>
        </w:rPr>
        <w:t xml:space="preserve">Sospendere Erogazione Farmaceutica – </w:t>
      </w:r>
      <w:r>
        <w:rPr>
          <w:b/>
          <w:bCs/>
          <w:lang w:eastAsia="x-none"/>
        </w:rPr>
        <w:t>(interazione SIST-SAC)</w:t>
      </w:r>
    </w:p>
    <w:p>
      <w:pPr>
        <w:pStyle w:val="Normal"/>
        <w:numPr>
          <w:ilvl w:val="0"/>
          <w:numId w:val="112"/>
        </w:numPr>
        <w:rPr/>
      </w:pPr>
      <w:r>
        <w:rPr/>
        <w:t>Inizio</w:t>
      </w:r>
    </w:p>
    <w:p>
      <w:pPr>
        <w:pStyle w:val="Normal"/>
        <w:numPr>
          <w:ilvl w:val="0"/>
          <w:numId w:val="112"/>
        </w:numPr>
        <w:rPr/>
      </w:pPr>
      <w:r>
        <w:rPr/>
        <w:t xml:space="preserve">Il gestionale di farmacia invoca il servizio CVPNSSN. setSospendiErogazioneNSSN </w:t>
      </w:r>
    </w:p>
    <w:p>
      <w:pPr>
        <w:pStyle w:val="Normal"/>
        <w:numPr>
          <w:ilvl w:val="0"/>
          <w:numId w:val="112"/>
        </w:numPr>
        <w:rPr/>
      </w:pPr>
      <w:r>
        <w:rPr/>
        <w:t>Il SIST procede alla sospensione dell’erogazione negli archivi SIST e SAC, invocando il servizio SospendiErogatoRicettaBianca.</w:t>
      </w:r>
    </w:p>
    <w:p>
      <w:pPr>
        <w:pStyle w:val="Normal"/>
        <w:numPr>
          <w:ilvl w:val="0"/>
          <w:numId w:val="112"/>
        </w:numPr>
        <w:rPr/>
      </w:pPr>
      <w:r>
        <w:rPr/>
        <w:t>Il gestionale di farmacia visualizza l’esito positivo dell’operazione o l’elenco delle anomalie riscontrate</w:t>
      </w:r>
    </w:p>
    <w:p>
      <w:pPr>
        <w:pStyle w:val="Normal"/>
        <w:numPr>
          <w:ilvl w:val="0"/>
          <w:numId w:val="112"/>
        </w:numPr>
        <w:rPr/>
      </w:pPr>
      <w:r>
        <w:rPr/>
        <w:t>Fine</w:t>
      </w:r>
    </w:p>
    <w:p>
      <w:pPr>
        <w:pStyle w:val="Normal"/>
        <w:ind w:left="1440"/>
        <w:rPr/>
      </w:pPr>
      <w:r>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keepLines w:val="false"/>
        <w:spacing w:lineRule="auto" w:line="240" w:before="0" w:after="0"/>
        <w:ind w:left="0"/>
        <w:rPr>
          <w:lang w:eastAsia="ja-JP"/>
        </w:rPr>
      </w:pPr>
      <w:r>
        <w:rPr>
          <w:lang w:eastAsia="ja-JP"/>
        </w:rPr>
      </w:r>
    </w:p>
    <w:sectPr>
      <w:headerReference w:type="even" r:id="rId96"/>
      <w:headerReference w:type="default" r:id="rId97"/>
      <w:headerReference w:type="first" r:id="rId98"/>
      <w:footerReference w:type="even" r:id="rId99"/>
      <w:footerReference w:type="default" r:id="rId100"/>
      <w:footerReference w:type="first" r:id="rId101"/>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ourier New">
    <w:charset w:val="00"/>
    <w:family w:val="roman"/>
    <w:pitch w:val="variable"/>
  </w:font>
  <w:font w:name="Tahoma">
    <w:charset w:val="00"/>
    <w:family w:val="swiss"/>
    <w:pitch w:val="variable"/>
  </w:font>
  <w:font w:name="Arial Unicode MS">
    <w:charset w:val="00"/>
    <w:family w:val="roman"/>
    <w:pitch w:val="variable"/>
  </w:font>
  <w:font w:name="Verdana">
    <w:charset w:val="00"/>
    <w:family w:val="swiss"/>
    <w:pitch w:val="variable"/>
  </w:font>
  <w:font w:name="Liberation Sans">
    <w:altName w:val="Arial"/>
    <w:charset w:val="00"/>
    <w:family w:val="swiss"/>
    <w:pitch w:val="variable"/>
  </w:font>
  <w:font w:name="Calibri">
    <w:charset w:val="00"/>
    <w:family w:val="swiss"/>
    <w:pitch w:val="variable"/>
  </w:font>
  <w:font w:name="Cambria">
    <w:charset w:val="00"/>
    <w:family w:val="roman"/>
    <w:pitch w:val="variable"/>
  </w:font>
  <w:font w:name="Consolas">
    <w:charset w:val="00"/>
    <w:family w:val="roman"/>
    <w:pitch w:val="variable"/>
  </w:font>
  <w:font w:name="Courier New">
    <w:charset w:val="01"/>
    <w:family w:val="modern"/>
    <w:pitch w:val="fixed"/>
  </w:font>
  <w:font w:name="Wingdings">
    <w:charset w:val="02"/>
    <w:family w:val="auto"/>
    <w:pitch w:val="variable"/>
  </w:font>
  <w:font w:name="Times New Roman">
    <w:charset w:val="01"/>
    <w:family w:val="roman"/>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91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91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FootnoteText"/>
        <w:spacing w:before="120" w:after="0"/>
        <w:rPr/>
      </w:pPr>
      <w:r>
        <w:rPr>
          <w:rStyle w:val="Caratterinotaapidipagina"/>
        </w:rPr>
        <w:footnoteRef/>
      </w:r>
      <w:r>
        <w:rPr/>
        <w:t>I messaggi SOAP response conterranno   il tag wsse:Security solo in response positive, come da esempio. In tutte la soap:Fault  response  tale tag non sara' presente.</w:t>
      </w:r>
    </w:p>
  </w:footnote>
  <w:footnote w:id="3">
    <w:p>
      <w:pPr>
        <w:pStyle w:val="FootnoteText"/>
        <w:spacing w:before="120" w:after="0"/>
        <w:rPr/>
      </w:pPr>
      <w:r>
        <w:rPr>
          <w:rStyle w:val="Caratterinotaapidipagina"/>
        </w:rPr>
        <w:footnoteRef/>
      </w:r>
      <w:r>
        <w:rPr>
          <w:sz w:val="18"/>
          <w:szCs w:val="18"/>
        </w:rPr>
        <w:t>Nel caso di soggetto sopposto a tutela, il tutore deve utilizzare il codice fiscale dell’assistito</w:t>
      </w:r>
    </w:p>
  </w:footnote>
  <w:footnote w:id="4">
    <w:p>
      <w:pPr>
        <w:pStyle w:val="FootnoteText"/>
        <w:spacing w:before="120" w:after="0"/>
        <w:rPr/>
      </w:pPr>
      <w:r>
        <w:rPr>
          <w:rStyle w:val="Caratterinotaapidipagina"/>
        </w:rPr>
        <w:footnoteRef/>
      </w:r>
      <w:r>
        <w:rPr/>
        <w:t xml:space="preserve"> </w:t>
      </w:r>
      <w:r>
        <w:rPr/>
        <w:t xml:space="preserve">L’obbligatorietà dell’asserzione è riferita alla sola operazione di aggiornamento, ovvero </w:t>
      </w:r>
      <w:r>
        <w:rPr>
          <w:i/>
        </w:rPr>
        <w:t>resourseAction=U</w:t>
      </w:r>
      <w:r>
        <w:rPr/>
        <w:t>. Per l’annullo il valore resta opzionale.</w:t>
      </w:r>
    </w:p>
  </w:footnote>
  <w:footnote w:id="5">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7">
    <w:p>
      <w:pPr>
        <w:pStyle w:val="FootnoteText"/>
        <w:spacing w:before="120" w:after="0"/>
        <w:rPr/>
      </w:pPr>
      <w:r>
        <w:rPr>
          <w:rStyle w:val="Caratterinotaapidipagina"/>
        </w:rPr>
        <w:footnoteRef/>
      </w:r>
      <w:r>
        <w:rPr/>
        <w:t xml:space="preserve"> </w:t>
      </w:r>
      <w:r>
        <w:rPr/>
        <w:t>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8">
    <w:p>
      <w:pPr>
        <w:pStyle w:val="FootnoteText"/>
        <w:spacing w:before="120" w:after="0"/>
        <w:rPr/>
      </w:pPr>
      <w:r>
        <w:rPr>
          <w:rStyle w:val="Caratterinotaapidipagina"/>
        </w:rPr>
        <w:footnoteRef/>
      </w:r>
      <w:r>
        <w:rPr>
          <w:sz w:val="18"/>
          <w:szCs w:val="18"/>
        </w:rPr>
        <w:t xml:space="preserve"> </w:t>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9">
    <w:p>
      <w:pPr>
        <w:pStyle w:val="FootnoteText"/>
        <w:spacing w:before="120" w:after="0"/>
        <w:rPr/>
      </w:pPr>
      <w:r>
        <w:rPr>
          <w:rStyle w:val="Caratterinotaapidipagina"/>
        </w:rPr>
        <w:footnoteRef/>
      </w:r>
      <w:r>
        <w:rP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10">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2">
    <w:p>
      <w:pPr>
        <w:pStyle w:val="Normal"/>
        <w:keepLines/>
        <w:widowControl/>
        <w:suppressAutoHyphens w:val="true"/>
        <w:bidi w:val="0"/>
        <w:spacing w:lineRule="atLeast" w:line="280" w:before="120" w:after="0"/>
        <w:ind w:left="851"/>
        <w:jc w:val="left"/>
        <w:rPr/>
      </w:pPr>
      <w:r>
        <w:rPr>
          <w:rStyle w:val="Caratterinotaapidipagina"/>
        </w:rPr>
        <w:footnoteRef/>
      </w:r>
      <w:r>
        <w:rPr/>
      </w:r>
    </w:p>
    <w:p>
      <w:pPr>
        <w:pStyle w:val="FootnoteText"/>
        <w:rPr/>
      </w:pPr>
      <w:r>
        <w:rPr/>
      </w:r>
    </w:p>
  </w:footnote>
  <w:footnote w:id="13">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4">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6">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9">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0">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1">
    <w:p>
      <w:pPr>
        <w:pStyle w:val="FootnoteText"/>
        <w:spacing w:before="120" w:after="0"/>
        <w:rPr/>
      </w:pPr>
      <w:r>
        <w:rPr>
          <w:rStyle w:val="Caratterinotaapidipagina"/>
        </w:rPr>
        <w:footnoteRef/>
      </w:r>
      <w:r>
        <w:rPr/>
        <w:t xml:space="preserve"> </w:t>
      </w:r>
      <w:r>
        <w:rPr/>
        <w:t>Il consenso al pregresso non può essere mai impostato a ‘no’, tale impostazione viene realizzata quando l’assistito imposta a ‘no’ (revoca) il consenso all’alimentazione.</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pStyle w:val="Heading1"/>
      <w:numFmt w:val="decimal"/>
      <w:lvlText w:val="%1."/>
      <w:lvlJc w:val="left"/>
      <w:pPr>
        <w:tabs>
          <w:tab w:val="num" w:pos="0"/>
        </w:tabs>
        <w:ind w:left="0" w:hanging="0"/>
      </w:pPr>
      <w:rPr/>
    </w:lvl>
    <w:lvl w:ilvl="1">
      <w:start w:val="1"/>
      <w:pStyle w:val="Heading2"/>
      <w:numFmt w:val="decimal"/>
      <w:lvlText w:val="%1.%2."/>
      <w:lvlJc w:val="left"/>
      <w:pPr>
        <w:tabs>
          <w:tab w:val="num" w:pos="0"/>
        </w:tabs>
        <w:ind w:left="0" w:hanging="0"/>
      </w:pPr>
      <w:rPr/>
    </w:lvl>
    <w:lvl w:ilvl="2">
      <w:start w:val="1"/>
      <w:pStyle w:val="Heading3"/>
      <w:numFmt w:val="decimal"/>
      <w:lvlText w:val="%1.%2.%3"/>
      <w:lvlJc w:val="left"/>
      <w:pPr>
        <w:tabs>
          <w:tab w:val="num" w:pos="0"/>
        </w:tabs>
        <w:ind w:left="0" w:hanging="0"/>
      </w:pPr>
      <w:rPr/>
    </w:lvl>
    <w:lvl w:ilvl="3">
      <w:start w:val="1"/>
      <w:pStyle w:val="Heading4"/>
      <w:numFmt w:val="decimal"/>
      <w:lvlText w:val="%1.%2.%3.%4"/>
      <w:lvlJc w:val="left"/>
      <w:pPr>
        <w:tabs>
          <w:tab w:val="num" w:pos="0"/>
        </w:tabs>
        <w:ind w:left="0" w:hanging="0"/>
      </w:pPr>
      <w:rPr/>
    </w:lvl>
    <w:lvl w:ilvl="4">
      <w:start w:val="1"/>
      <w:pStyle w:val="Heading5"/>
      <w:numFmt w:val="decimal"/>
      <w:lvlText w:val="%1.%2.%3.%4.%5"/>
      <w:lvlJc w:val="left"/>
      <w:pPr>
        <w:tabs>
          <w:tab w:val="num" w:pos="0"/>
        </w:tabs>
        <w:ind w:left="0" w:hanging="0"/>
      </w:pPr>
      <w:rPr/>
    </w:lvl>
    <w:lvl w:ilvl="5">
      <w:start w:val="1"/>
      <w:pStyle w:val="Heading6"/>
      <w:numFmt w:val="decimal"/>
      <w:lvlText w:val="%1.%2.%3.%4.%5.%6"/>
      <w:lvlJc w:val="left"/>
      <w:pPr>
        <w:tabs>
          <w:tab w:val="num" w:pos="0"/>
        </w:tabs>
        <w:ind w:left="0" w:hanging="0"/>
      </w:pPr>
      <w:rPr/>
    </w:lvl>
    <w:lvl w:ilvl="6">
      <w:start w:val="1"/>
      <w:pStyle w:val="Heading7"/>
      <w:numFmt w:val="decimal"/>
      <w:lvlText w:val="%1.%2.%3.%4.%5.%6.%7"/>
      <w:lvlJc w:val="left"/>
      <w:pPr>
        <w:tabs>
          <w:tab w:val="num" w:pos="0"/>
        </w:tabs>
        <w:ind w:left="0" w:hanging="0"/>
      </w:pPr>
      <w:rPr/>
    </w:lvl>
    <w:lvl w:ilvl="7">
      <w:start w:val="1"/>
      <w:pStyle w:val="Heading8"/>
      <w:numFmt w:val="decimal"/>
      <w:lvlText w:val="%1.%2.%3.%4.%5.%6.%7.%8"/>
      <w:lvlJc w:val="left"/>
      <w:pPr>
        <w:tabs>
          <w:tab w:val="num" w:pos="0"/>
        </w:tabs>
        <w:ind w:left="0" w:hanging="0"/>
      </w:pPr>
      <w:rPr/>
    </w:lvl>
    <w:lvl w:ilvl="8">
      <w:start w:val="1"/>
      <w:pStyle w:val="Heading9"/>
      <w:numFmt w:val="decimal"/>
      <w:lvlText w:val="%1.%2.%3.%4.%5.%6.%7.%8.%9"/>
      <w:lvlJc w:val="left"/>
      <w:pPr>
        <w:tabs>
          <w:tab w:val="num" w:pos="0"/>
        </w:tabs>
        <w:ind w:left="0" w:hanging="0"/>
      </w:pPr>
      <w:r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decimal"/>
      <w:lvlText w:val="%1."/>
      <w:lvlJc w:val="left"/>
      <w:pPr>
        <w:tabs>
          <w:tab w:val="num" w:pos="1069"/>
        </w:tabs>
        <w:ind w:left="1069" w:hanging="360"/>
      </w:pPr>
      <w:rPr/>
    </w:lvl>
    <w:lvl w:ilvl="1">
      <w:start w:val="1"/>
      <w:numFmt w:val="decimal"/>
      <w:lvlText w:val="%2."/>
      <w:lvlJc w:val="left"/>
      <w:pPr>
        <w:tabs>
          <w:tab w:val="num" w:pos="949"/>
        </w:tabs>
        <w:ind w:left="949" w:hanging="360"/>
      </w:pPr>
      <w:rPr/>
    </w:lvl>
    <w:lvl w:ilvl="2">
      <w:start w:val="1"/>
      <w:numFmt w:val="lowerLetter"/>
      <w:lvlText w:val="%3)"/>
      <w:lvlJc w:val="left"/>
      <w:pPr>
        <w:tabs>
          <w:tab w:val="num" w:pos="1849"/>
        </w:tabs>
        <w:ind w:left="1849" w:hanging="360"/>
      </w:pPr>
      <w:rPr/>
    </w:lvl>
    <w:lvl w:ilvl="3">
      <w:start w:val="1"/>
      <w:numFmt w:val="decimal"/>
      <w:lvlText w:val="%4."/>
      <w:lvlJc w:val="left"/>
      <w:pPr>
        <w:tabs>
          <w:tab w:val="num" w:pos="2389"/>
        </w:tabs>
        <w:ind w:left="2389" w:hanging="360"/>
      </w:pPr>
      <w:rPr/>
    </w:lvl>
    <w:lvl w:ilvl="4">
      <w:start w:val="1"/>
      <w:numFmt w:val="lowerLetter"/>
      <w:lvlText w:val="%5."/>
      <w:lvlJc w:val="left"/>
      <w:pPr>
        <w:tabs>
          <w:tab w:val="num" w:pos="3109"/>
        </w:tabs>
        <w:ind w:left="3109" w:hanging="360"/>
      </w:pPr>
      <w:rPr/>
    </w:lvl>
    <w:lvl w:ilvl="5">
      <w:start w:val="1"/>
      <w:numFmt w:val="lowerRoman"/>
      <w:lvlText w:val="%6."/>
      <w:lvlJc w:val="right"/>
      <w:pPr>
        <w:tabs>
          <w:tab w:val="num" w:pos="3829"/>
        </w:tabs>
        <w:ind w:left="3829" w:hanging="180"/>
      </w:pPr>
      <w:rPr/>
    </w:lvl>
    <w:lvl w:ilvl="6">
      <w:start w:val="1"/>
      <w:numFmt w:val="decimal"/>
      <w:lvlText w:val="%7."/>
      <w:lvlJc w:val="left"/>
      <w:pPr>
        <w:tabs>
          <w:tab w:val="num" w:pos="4549"/>
        </w:tabs>
        <w:ind w:left="4549" w:hanging="360"/>
      </w:pPr>
      <w:rPr/>
    </w:lvl>
    <w:lvl w:ilvl="7">
      <w:start w:val="1"/>
      <w:numFmt w:val="lowerLetter"/>
      <w:lvlText w:val="%8."/>
      <w:lvlJc w:val="left"/>
      <w:pPr>
        <w:tabs>
          <w:tab w:val="num" w:pos="5269"/>
        </w:tabs>
        <w:ind w:left="5269" w:hanging="360"/>
      </w:pPr>
      <w:rPr/>
    </w:lvl>
    <w:lvl w:ilvl="8">
      <w:start w:val="1"/>
      <w:numFmt w:val="lowerRoman"/>
      <w:lvlText w:val="%9."/>
      <w:lvlJc w:val="right"/>
      <w:pPr>
        <w:tabs>
          <w:tab w:val="num" w:pos="5989"/>
        </w:tabs>
        <w:ind w:left="5989" w:hanging="180"/>
      </w:pPr>
      <w:rPr/>
    </w:lvl>
  </w:abstractNum>
  <w:abstractNum w:abstractNumId="4">
    <w:lvl w:ilvl="0">
      <w:start w:val="1"/>
      <w:numFmt w:val="decimal"/>
      <w:lvlText w:val="%1)"/>
      <w:lvlJc w:val="left"/>
      <w:pPr>
        <w:tabs>
          <w:tab w:val="num" w:pos="720"/>
        </w:tabs>
        <w:ind w:left="720" w:hanging="360"/>
      </w:pPr>
      <w:rPr/>
    </w:lvl>
    <w:lvl w:ilvl="1">
      <w:start w:val="1"/>
      <w:numFmt w:val="lowerLetter"/>
      <w:lvlText w:val="%2."/>
      <w:lvlJc w:val="left"/>
      <w:pPr>
        <w:tabs>
          <w:tab w:val="num" w:pos="1440"/>
        </w:tabs>
        <w:ind w:left="1440" w:hanging="360"/>
      </w:pPr>
      <w:rPr/>
    </w:lvl>
    <w:lvl w:ilvl="2">
      <w:start w:val="1"/>
      <w:numFmt w:val="lowerRoman"/>
      <w:lvlText w:val="%3."/>
      <w:lvlJc w:val="right"/>
      <w:pPr>
        <w:tabs>
          <w:tab w:val="num" w:pos="2160"/>
        </w:tabs>
        <w:ind w:left="2160" w:hanging="180"/>
      </w:pPr>
      <w:rPr/>
    </w:lvl>
    <w:lvl w:ilvl="3">
      <w:start w:val="1"/>
      <w:numFmt w:val="decimal"/>
      <w:lvlText w:val="%4."/>
      <w:lvlJc w:val="left"/>
      <w:pPr>
        <w:tabs>
          <w:tab w:val="num" w:pos="2880"/>
        </w:tabs>
        <w:ind w:left="2880" w:hanging="360"/>
      </w:pPr>
      <w:rPr/>
    </w:lvl>
    <w:lvl w:ilvl="4">
      <w:start w:val="1"/>
      <w:numFmt w:val="lowerLetter"/>
      <w:lvlText w:val="%5."/>
      <w:lvlJc w:val="left"/>
      <w:pPr>
        <w:tabs>
          <w:tab w:val="num" w:pos="3600"/>
        </w:tabs>
        <w:ind w:left="3600" w:hanging="360"/>
      </w:pPr>
      <w:rPr/>
    </w:lvl>
    <w:lvl w:ilvl="5">
      <w:start w:val="1"/>
      <w:numFmt w:val="lowerRoman"/>
      <w:lvlText w:val="%6."/>
      <w:lvlJc w:val="right"/>
      <w:pPr>
        <w:tabs>
          <w:tab w:val="num" w:pos="4320"/>
        </w:tabs>
        <w:ind w:left="4320" w:hanging="180"/>
      </w:pPr>
      <w:rPr/>
    </w:lvl>
    <w:lvl w:ilvl="6">
      <w:start w:val="1"/>
      <w:numFmt w:val="decimal"/>
      <w:lvlText w:val="%7."/>
      <w:lvlJc w:val="left"/>
      <w:pPr>
        <w:tabs>
          <w:tab w:val="num" w:pos="5040"/>
        </w:tabs>
        <w:ind w:left="5040" w:hanging="360"/>
      </w:pPr>
      <w:rPr/>
    </w:lvl>
    <w:lvl w:ilvl="7">
      <w:start w:val="1"/>
      <w:numFmt w:val="lowerLetter"/>
      <w:lvlText w:val="%8."/>
      <w:lvlJc w:val="left"/>
      <w:pPr>
        <w:tabs>
          <w:tab w:val="num" w:pos="5760"/>
        </w:tabs>
        <w:ind w:left="5760" w:hanging="360"/>
      </w:pPr>
      <w:rPr/>
    </w:lvl>
    <w:lvl w:ilvl="8">
      <w:start w:val="1"/>
      <w:numFmt w:val="lowerRoman"/>
      <w:lvlText w:val="%9."/>
      <w:lvlJc w:val="right"/>
      <w:pPr>
        <w:tabs>
          <w:tab w:val="num" w:pos="6480"/>
        </w:tabs>
        <w:ind w:left="6480" w:hanging="180"/>
      </w:pPr>
      <w:rPr/>
    </w:lvl>
  </w:abstractNum>
  <w:abstractNum w:abstractNumId="5">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7">
    <w:lvl w:ilvl="0">
      <w:start w:val="1"/>
      <w:numFmt w:val="lowerLetter"/>
      <w:lvlText w:val="%1)"/>
      <w:lvlJc w:val="left"/>
      <w:pPr>
        <w:tabs>
          <w:tab w:val="num" w:pos="0"/>
        </w:tabs>
        <w:ind w:left="1620" w:hanging="360"/>
      </w:pPr>
      <w:rPr/>
    </w:lvl>
    <w:lvl w:ilvl="1">
      <w:start w:val="1"/>
      <w:numFmt w:val="lowerLetter"/>
      <w:lvlText w:val="%2."/>
      <w:lvlJc w:val="left"/>
      <w:pPr>
        <w:tabs>
          <w:tab w:val="num" w:pos="0"/>
        </w:tabs>
        <w:ind w:left="2340" w:hanging="360"/>
      </w:pPr>
      <w:rPr/>
    </w:lvl>
    <w:lvl w:ilvl="2">
      <w:start w:val="1"/>
      <w:numFmt w:val="lowerRoman"/>
      <w:lvlText w:val="%3."/>
      <w:lvlJc w:val="right"/>
      <w:pPr>
        <w:tabs>
          <w:tab w:val="num" w:pos="0"/>
        </w:tabs>
        <w:ind w:left="3060" w:hanging="180"/>
      </w:pPr>
      <w:rPr/>
    </w:lvl>
    <w:lvl w:ilvl="3">
      <w:start w:val="1"/>
      <w:numFmt w:val="decimal"/>
      <w:lvlText w:val="%4."/>
      <w:lvlJc w:val="left"/>
      <w:pPr>
        <w:tabs>
          <w:tab w:val="num" w:pos="0"/>
        </w:tabs>
        <w:ind w:left="3780" w:hanging="360"/>
      </w:pPr>
      <w:rPr/>
    </w:lvl>
    <w:lvl w:ilvl="4">
      <w:start w:val="1"/>
      <w:numFmt w:val="lowerLetter"/>
      <w:lvlText w:val="%5."/>
      <w:lvlJc w:val="left"/>
      <w:pPr>
        <w:tabs>
          <w:tab w:val="num" w:pos="0"/>
        </w:tabs>
        <w:ind w:left="4500" w:hanging="360"/>
      </w:pPr>
      <w:rPr/>
    </w:lvl>
    <w:lvl w:ilvl="5">
      <w:start w:val="1"/>
      <w:numFmt w:val="lowerRoman"/>
      <w:lvlText w:val="%6."/>
      <w:lvlJc w:val="right"/>
      <w:pPr>
        <w:tabs>
          <w:tab w:val="num" w:pos="0"/>
        </w:tabs>
        <w:ind w:left="5220" w:hanging="180"/>
      </w:pPr>
      <w:rPr/>
    </w:lvl>
    <w:lvl w:ilvl="6">
      <w:start w:val="1"/>
      <w:numFmt w:val="decimal"/>
      <w:lvlText w:val="%7."/>
      <w:lvlJc w:val="left"/>
      <w:pPr>
        <w:tabs>
          <w:tab w:val="num" w:pos="0"/>
        </w:tabs>
        <w:ind w:left="5940" w:hanging="360"/>
      </w:pPr>
      <w:rPr/>
    </w:lvl>
    <w:lvl w:ilvl="7">
      <w:start w:val="1"/>
      <w:numFmt w:val="lowerLetter"/>
      <w:lvlText w:val="%8."/>
      <w:lvlJc w:val="left"/>
      <w:pPr>
        <w:tabs>
          <w:tab w:val="num" w:pos="0"/>
        </w:tabs>
        <w:ind w:left="6660" w:hanging="360"/>
      </w:pPr>
      <w:rPr/>
    </w:lvl>
    <w:lvl w:ilvl="8">
      <w:start w:val="1"/>
      <w:numFmt w:val="lowerRoman"/>
      <w:lvlText w:val="%9."/>
      <w:lvlJc w:val="right"/>
      <w:pPr>
        <w:tabs>
          <w:tab w:val="num" w:pos="0"/>
        </w:tabs>
        <w:ind w:left="7380" w:hanging="180"/>
      </w:pPr>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3">
    <w:lvl w:ilvl="0">
      <w:start w:val="1"/>
      <w:numFmt w:val="decimal"/>
      <w:lvlText w:val="%1."/>
      <w:lvlJc w:val="left"/>
      <w:pPr>
        <w:tabs>
          <w:tab w:val="num" w:pos="0"/>
        </w:tabs>
        <w:ind w:left="1440" w:hanging="360"/>
      </w:pPr>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0">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1">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4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3">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5">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56">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57">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8">
    <w:lvl w:ilvl="0">
      <w:start w:val="1"/>
      <w:numFmt w:val="decimal"/>
      <w:lvlText w:val="%1)"/>
      <w:lvlJc w:val="left"/>
      <w:pPr>
        <w:tabs>
          <w:tab w:val="num" w:pos="0"/>
        </w:tabs>
        <w:ind w:left="720" w:hanging="360"/>
      </w:pPr>
      <w:rPr>
        <w:sz w:val="22"/>
        <w:b/>
        <w:szCs w:val="22"/>
        <w:rFonts w:ascii="Calibri" w:hAnsi="Calibri"/>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9">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6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5">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6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1">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0">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9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93">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9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96">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9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8">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9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1">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02">
    <w:lvl w:ilvl="0">
      <w:start w:val="1"/>
      <w:numFmt w:val="decimal"/>
      <w:lvlText w:val="%1."/>
      <w:lvlJc w:val="left"/>
      <w:pPr>
        <w:tabs>
          <w:tab w:val="num" w:pos="0"/>
        </w:tabs>
        <w:ind w:left="1571" w:hanging="360"/>
      </w:pPr>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103">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0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3142" w:hanging="360"/>
      </w:pPr>
      <w:rPr/>
    </w:lvl>
    <w:lvl w:ilvl="2">
      <w:start w:val="1"/>
      <w:numFmt w:val="lowerRoman"/>
      <w:lvlText w:val="%3."/>
      <w:lvlJc w:val="right"/>
      <w:pPr>
        <w:tabs>
          <w:tab w:val="num" w:pos="0"/>
        </w:tabs>
        <w:ind w:left="3862" w:hanging="180"/>
      </w:pPr>
      <w:rPr/>
    </w:lvl>
    <w:lvl w:ilvl="3">
      <w:start w:val="1"/>
      <w:numFmt w:val="decimal"/>
      <w:lvlText w:val="%4."/>
      <w:lvlJc w:val="left"/>
      <w:pPr>
        <w:tabs>
          <w:tab w:val="num" w:pos="0"/>
        </w:tabs>
        <w:ind w:left="4582" w:hanging="360"/>
      </w:pPr>
      <w:rPr/>
    </w:lvl>
    <w:lvl w:ilvl="4">
      <w:start w:val="1"/>
      <w:numFmt w:val="lowerLetter"/>
      <w:lvlText w:val="%5."/>
      <w:lvlJc w:val="left"/>
      <w:pPr>
        <w:tabs>
          <w:tab w:val="num" w:pos="0"/>
        </w:tabs>
        <w:ind w:left="5302" w:hanging="360"/>
      </w:pPr>
      <w:rPr/>
    </w:lvl>
    <w:lvl w:ilvl="5">
      <w:start w:val="1"/>
      <w:numFmt w:val="lowerRoman"/>
      <w:lvlText w:val="%6."/>
      <w:lvlJc w:val="right"/>
      <w:pPr>
        <w:tabs>
          <w:tab w:val="num" w:pos="0"/>
        </w:tabs>
        <w:ind w:left="6022" w:hanging="180"/>
      </w:pPr>
      <w:rPr/>
    </w:lvl>
    <w:lvl w:ilvl="6">
      <w:start w:val="1"/>
      <w:numFmt w:val="decimal"/>
      <w:lvlText w:val="%7."/>
      <w:lvlJc w:val="left"/>
      <w:pPr>
        <w:tabs>
          <w:tab w:val="num" w:pos="0"/>
        </w:tabs>
        <w:ind w:left="6742" w:hanging="360"/>
      </w:pPr>
      <w:rPr/>
    </w:lvl>
    <w:lvl w:ilvl="7">
      <w:start w:val="1"/>
      <w:numFmt w:val="lowerLetter"/>
      <w:lvlText w:val="%8."/>
      <w:lvlJc w:val="left"/>
      <w:pPr>
        <w:tabs>
          <w:tab w:val="num" w:pos="0"/>
        </w:tabs>
        <w:ind w:left="7462" w:hanging="360"/>
      </w:pPr>
      <w:rPr/>
    </w:lvl>
    <w:lvl w:ilvl="8">
      <w:start w:val="1"/>
      <w:numFmt w:val="lowerRoman"/>
      <w:lvlText w:val="%9."/>
      <w:lvlJc w:val="right"/>
      <w:pPr>
        <w:tabs>
          <w:tab w:val="num" w:pos="0"/>
        </w:tabs>
        <w:ind w:left="8182" w:hanging="180"/>
      </w:pPr>
      <w:rPr/>
    </w:lvl>
  </w:abstractNum>
  <w:abstractNum w:abstractNumId="106">
    <w:lvl w:ilvl="0">
      <w:start w:val="1"/>
      <w:numFmt w:val="lowerLetter"/>
      <w:lvlText w:val="%1."/>
      <w:lvlJc w:val="left"/>
      <w:pPr>
        <w:tabs>
          <w:tab w:val="num" w:pos="0"/>
        </w:tabs>
        <w:ind w:left="229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9">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0">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3">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1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lvl w:ilvl="0">
      <w:start w:val="1"/>
      <w:numFmt w:val="decimal"/>
      <w:lvlText w:val="%1)"/>
      <w:lvlJc w:val="left"/>
      <w:pPr>
        <w:tabs>
          <w:tab w:val="num" w:pos="0"/>
        </w:tabs>
        <w:ind w:left="1571" w:hanging="360"/>
      </w:pPr>
      <w:rPr>
        <w:sz w:val="22"/>
        <w:b/>
        <w:szCs w:val="22"/>
        <w:rFonts w:ascii="Calibri" w:hAnsi="Calibri"/>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7">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18">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1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9">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40">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41">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19"/>
    <w:lvlOverride w:ilvl="0">
      <w:startOverride w:val="1"/>
    </w:lvlOverride>
  </w:num>
  <w:num w:numId="143">
    <w:abstractNumId w:val="119"/>
  </w:num>
  <w:num w:numId="144">
    <w:abstractNumId w:val="119"/>
  </w:num>
  <w:num w:numId="145">
    <w:abstractNumId w:val="119"/>
  </w:num>
  <w:num w:numId="146">
    <w:abstractNumId w:val="119"/>
  </w:num>
  <w:num w:numId="147">
    <w:abstractNumId w:val="124"/>
    <w:lvlOverride w:ilvl="0">
      <w:startOverride w:val="1"/>
    </w:lvlOverride>
  </w:num>
  <w:num w:numId="148">
    <w:abstractNumId w:val="124"/>
  </w:num>
  <w:num w:numId="149">
    <w:abstractNumId w:val="124"/>
  </w:num>
  <w:num w:numId="150">
    <w:abstractNumId w:val="124"/>
  </w:num>
  <w:num w:numId="151">
    <w:abstractNumId w:val="124"/>
  </w:num>
  <w:num w:numId="152">
    <w:abstractNumId w:val="129"/>
    <w:lvlOverride w:ilvl="0">
      <w:startOverride w:val="1"/>
    </w:lvlOverride>
  </w:num>
  <w:num w:numId="153">
    <w:abstractNumId w:val="129"/>
  </w:num>
  <w:num w:numId="154">
    <w:abstractNumId w:val="129"/>
  </w:num>
  <w:num w:numId="155">
    <w:abstractNumId w:val="129"/>
  </w:num>
  <w:num w:numId="156">
    <w:abstractNumId w:val="133"/>
    <w:lvlOverride w:ilvl="0">
      <w:startOverride w:val="1"/>
    </w:lvlOverride>
  </w:num>
  <w:num w:numId="157">
    <w:abstractNumId w:val="133"/>
  </w:num>
  <w:num w:numId="158">
    <w:abstractNumId w:val="133"/>
  </w:num>
  <w:num w:numId="159">
    <w:abstractNumId w:val="133"/>
  </w:num>
  <w:num w:numId="160">
    <w:abstractNumId w:val="137"/>
    <w:lvlOverride w:ilvl="0">
      <w:startOverride w:val="1"/>
    </w:lvlOverride>
  </w:num>
  <w:num w:numId="161">
    <w:abstractNumId w:val="137"/>
  </w:num>
  <w:num w:numId="162">
    <w:abstractNumId w:val="139"/>
    <w:lvlOverride w:ilvl="0">
      <w:startOverride w:val="1"/>
    </w:lvlOverride>
    <w:lvlOverride w:ilvl="1">
      <w:startOverride w:val="1"/>
    </w:lvlOverride>
  </w:num>
  <w:num w:numId="163">
    <w:abstractNumId w:val="139"/>
  </w:num>
  <w:num w:numId="164">
    <w:abstractNumId w:val="139"/>
  </w:num>
</w:numbering>
</file>

<file path=word/settings.xml><?xml version="1.0" encoding="utf-8"?>
<w:settings xmlns:w="http://schemas.openxmlformats.org/wordprocessingml/2006/main">
  <w:zoom w:percent="170"/>
  <w:defaultTabStop w:val="720"/>
  <w:autoHyphenation w:val="true"/>
  <w:hyphenationZone w:val="283"/>
  <w:footnotePr>
    <w:numFmt w:val="decimal"/>
    <w:footnote w:id="0"/>
    <w:footnote w:id="1"/>
  </w:foot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themeFontLang w:val="it-IT"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it-IT" w:eastAsia="ja-JP"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uiPriority="0" w:semiHidden="1" w:unhideWhenUsed="1"/>
    <w:lsdException w:name="caption" w:uiPriority="0" w:qFormat="1"/>
    <w:lsdException w:name="table of figures" w:uiPriority="0"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uiPriority="0"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b0847"/>
    <w:pPr>
      <w:keepLines/>
      <w:widowControl/>
      <w:suppressAutoHyphens w:val="true"/>
      <w:bidi w:val="0"/>
      <w:spacing w:lineRule="atLeast" w:line="280" w:before="120" w:after="0"/>
      <w:ind w:left="851"/>
      <w:jc w:val="left"/>
    </w:pPr>
    <w:rPr>
      <w:rFonts w:ascii="Times New Roman" w:hAnsi="Times New Roman" w:eastAsia="Times New Roman" w:cs="Times New Roman"/>
      <w:color w:val="auto"/>
      <w:kern w:val="0"/>
      <w:sz w:val="20"/>
      <w:szCs w:val="20"/>
      <w:lang w:val="it-IT" w:eastAsia="it-IT" w:bidi="ar-SA"/>
    </w:rPr>
  </w:style>
  <w:style w:type="paragraph" w:styleId="Heading1">
    <w:name w:val="heading 1"/>
    <w:basedOn w:val="Normal"/>
    <w:next w:val="Normal"/>
    <w:link w:val="Titolo1Carattere"/>
    <w:uiPriority w:val="9"/>
    <w:qFormat/>
    <w:rsid w:val="00c4627f"/>
    <w:pPr>
      <w:keepNext w:val="true"/>
      <w:numPr>
        <w:ilvl w:val="0"/>
        <w:numId w:val="1"/>
      </w:numPr>
      <w:spacing w:before="360" w:after="120"/>
      <w:outlineLvl w:val="0"/>
    </w:pPr>
    <w:rPr>
      <w:rFonts w:ascii="Arial" w:hAnsi="Arial"/>
      <w:b/>
      <w:sz w:val="28"/>
      <w:lang w:val="x-none" w:eastAsia="x-none"/>
    </w:rPr>
  </w:style>
  <w:style w:type="paragraph" w:styleId="Heading2">
    <w:name w:val="heading 2"/>
    <w:basedOn w:val="Normal"/>
    <w:next w:val="Normal"/>
    <w:link w:val="Titolo2Carattere"/>
    <w:qFormat/>
    <w:rsid w:val="00c4627f"/>
    <w:pPr>
      <w:keepNext w:val="true"/>
      <w:numPr>
        <w:ilvl w:val="1"/>
        <w:numId w:val="1"/>
      </w:numPr>
      <w:spacing w:before="360" w:after="0"/>
      <w:outlineLvl w:val="1"/>
    </w:pPr>
    <w:rPr>
      <w:rFonts w:ascii="Arial" w:hAnsi="Arial"/>
      <w:b/>
      <w:sz w:val="24"/>
      <w:lang w:val="x-none" w:eastAsia="x-none"/>
    </w:rPr>
  </w:style>
  <w:style w:type="paragraph" w:styleId="Heading3">
    <w:name w:val="heading 3"/>
    <w:basedOn w:val="Normal"/>
    <w:next w:val="Normal"/>
    <w:link w:val="Titolo3Carattere"/>
    <w:uiPriority w:val="9"/>
    <w:qFormat/>
    <w:rsid w:val="00c4627f"/>
    <w:pPr>
      <w:keepNext w:val="true"/>
      <w:numPr>
        <w:ilvl w:val="2"/>
        <w:numId w:val="1"/>
      </w:numPr>
      <w:spacing w:before="360" w:after="0"/>
      <w:outlineLvl w:val="2"/>
    </w:pPr>
    <w:rPr>
      <w:rFonts w:ascii="Arial" w:hAnsi="Arial"/>
      <w:b/>
      <w:sz w:val="22"/>
      <w:lang w:val="en-US" w:eastAsia="x-none"/>
    </w:rPr>
  </w:style>
  <w:style w:type="paragraph" w:styleId="Heading4">
    <w:name w:val="heading 4"/>
    <w:basedOn w:val="Normal"/>
    <w:next w:val="Normal"/>
    <w:link w:val="Titolo4Carattere"/>
    <w:uiPriority w:val="9"/>
    <w:qFormat/>
    <w:rsid w:val="00c4627f"/>
    <w:pPr>
      <w:keepNext w:val="true"/>
      <w:numPr>
        <w:ilvl w:val="3"/>
        <w:numId w:val="1"/>
      </w:numPr>
      <w:outlineLvl w:val="3"/>
    </w:pPr>
    <w:rPr>
      <w:b/>
      <w:bCs/>
      <w:i/>
      <w:iCs/>
      <w:sz w:val="22"/>
      <w:lang w:val="x-none" w:eastAsia="x-none"/>
    </w:rPr>
  </w:style>
  <w:style w:type="paragraph" w:styleId="Heading5">
    <w:name w:val="heading 5"/>
    <w:basedOn w:val="Normal"/>
    <w:next w:val="Normal"/>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Heading6">
    <w:name w:val="heading 6"/>
    <w:basedOn w:val="Normal"/>
    <w:next w:val="Normal"/>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Heading7">
    <w:name w:val="heading 7"/>
    <w:basedOn w:val="Normal"/>
    <w:next w:val="Normal"/>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Heading8">
    <w:name w:val="heading 8"/>
    <w:basedOn w:val="Normal"/>
    <w:next w:val="Normal"/>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Heading9">
    <w:name w:val="heading 9"/>
    <w:basedOn w:val="Normal"/>
    <w:next w:val="Normal"/>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styleId="DefaultParagraphFont" w:default="1">
    <w:name w:val="Default Paragraph Font"/>
    <w:uiPriority w:val="1"/>
    <w:semiHidden/>
    <w:unhideWhenUsed/>
    <w:qFormat/>
    <w:rPr/>
  </w:style>
  <w:style w:type="character" w:styleId="HTMLAcronym">
    <w:name w:val="HTML Acronym"/>
    <w:basedOn w:val="DefaultParagraphFont"/>
    <w:semiHidden/>
    <w:qFormat/>
    <w:rsid w:val="00c4627f"/>
    <w:rPr/>
  </w:style>
  <w:style w:type="character" w:styleId="Hyperlink">
    <w:name w:val="Hyperlink"/>
    <w:uiPriority w:val="99"/>
    <w:rsid w:val="00c4627f"/>
    <w:rPr>
      <w:color w:val="0000FF"/>
      <w:u w:val="single"/>
    </w:rPr>
  </w:style>
  <w:style w:type="character" w:styleId="Emphasis">
    <w:name w:val="Emphasis"/>
    <w:qFormat/>
    <w:rsid w:val="00c4627f"/>
    <w:rPr>
      <w:i/>
      <w:iCs/>
    </w:rPr>
  </w:style>
  <w:style w:type="character" w:styleId="Strong">
    <w:name w:val="Strong"/>
    <w:uiPriority w:val="22"/>
    <w:qFormat/>
    <w:rsid w:val="00c4627f"/>
    <w:rPr>
      <w:b/>
      <w:bCs/>
    </w:rPr>
  </w:style>
  <w:style w:type="character" w:styleId="Enfasigrasscorsivo" w:customStyle="1">
    <w:name w:val="Enfasi grass+corsivo"/>
    <w:qFormat/>
    <w:rsid w:val="00c4627f"/>
    <w:rPr>
      <w:b/>
      <w:bCs/>
      <w:i w:val="false"/>
      <w:iCs w:val="false"/>
    </w:rPr>
  </w:style>
  <w:style w:type="character" w:styleId="PageNumber">
    <w:name w:val="page number"/>
    <w:basedOn w:val="DefaultParagraphFont"/>
    <w:semiHidden/>
    <w:rsid w:val="00c4627f"/>
    <w:rPr/>
  </w:style>
  <w:style w:type="character" w:styleId="CommentReference">
    <w:name w:val="annotation reference"/>
    <w:semiHidden/>
    <w:qFormat/>
    <w:rsid w:val="00c4627f"/>
    <w:rPr>
      <w:color w:val="FF00FF"/>
      <w:sz w:val="16"/>
      <w:szCs w:val="16"/>
      <w:shd w:fill="FFFF99" w:val="clear"/>
    </w:rPr>
  </w:style>
  <w:style w:type="character" w:styleId="HTMLVariable">
    <w:name w:val="HTML Variable"/>
    <w:semiHidden/>
    <w:qFormat/>
    <w:rsid w:val="00c4627f"/>
    <w:rPr>
      <w:i/>
      <w:iCs/>
    </w:rPr>
  </w:style>
  <w:style w:type="character" w:styleId="heading11" w:customStyle="1">
    <w:name w:val="heading1"/>
    <w:qFormat/>
    <w:rsid w:val="00c4627f"/>
    <w:rPr>
      <w:b/>
      <w:bCs/>
      <w:color w:val="000080"/>
      <w:sz w:val="28"/>
      <w:szCs w:val="28"/>
    </w:rPr>
  </w:style>
  <w:style w:type="character" w:styleId="FollowedHyperlink">
    <w:name w:val="FollowedHyperlink"/>
    <w:uiPriority w:val="99"/>
    <w:semiHidden/>
    <w:rsid w:val="00c4627f"/>
    <w:rPr>
      <w:color w:val="800080"/>
      <w:u w:val="single"/>
    </w:rPr>
  </w:style>
  <w:style w:type="character" w:styleId="FootnoteCharacters" w:customStyle="1">
    <w:name w:val="Footnote Characters"/>
    <w:uiPriority w:val="99"/>
    <w:qFormat/>
    <w:rsid w:val="00c4627f"/>
    <w:rPr>
      <w:vertAlign w:val="superscript"/>
    </w:rPr>
  </w:style>
  <w:style w:type="character" w:styleId="Caratterinotaapidipaginauser">
    <w:name w:val="Caratteri nota a piè di pagina (user)"/>
    <w:qFormat/>
    <w:rPr>
      <w:vertAlign w:val="superscript"/>
    </w:rPr>
  </w:style>
  <w:style w:type="character" w:styleId="Caratterinotaapidipagina">
    <w:name w:val="Caratteri nota a piè di pagina"/>
    <w:qFormat/>
    <w:rPr>
      <w:vertAlign w:val="superscript"/>
    </w:rPr>
  </w:style>
  <w:style w:type="character" w:styleId="FootnoteReference">
    <w:name w:val="footnote reference"/>
    <w:rPr>
      <w:vertAlign w:val="superscript"/>
    </w:rPr>
  </w:style>
  <w:style w:type="character" w:styleId="Codice10" w:customStyle="1">
    <w:name w:val="Codice 10"/>
    <w:qFormat/>
    <w:rsid w:val="00c4627f"/>
    <w:rPr>
      <w:rFonts w:ascii="Courier New" w:hAnsi="Courier New"/>
      <w:b/>
      <w:bCs/>
      <w:sz w:val="20"/>
    </w:rPr>
  </w:style>
  <w:style w:type="character" w:styleId="Codice8" w:customStyle="1">
    <w:name w:val="Codice 8"/>
    <w:qFormat/>
    <w:rsid w:val="00c4627f"/>
    <w:rPr>
      <w:rFonts w:ascii="Courier New" w:hAnsi="Courier New"/>
      <w:b/>
      <w:bCs/>
      <w:sz w:val="16"/>
    </w:rPr>
  </w:style>
  <w:style w:type="character" w:styleId="CarattereCarattere1" w:customStyle="1">
    <w:name w:val="Carattere Carattere1"/>
    <w:qFormat/>
    <w:rsid w:val="00c4627f"/>
    <w:rPr>
      <w:rFonts w:ascii="Arial" w:hAnsi="Arial"/>
      <w:b/>
      <w:sz w:val="28"/>
      <w:lang w:val="it-IT" w:eastAsia="it-IT" w:bidi="ar-SA"/>
    </w:rPr>
  </w:style>
  <w:style w:type="character" w:styleId="CarattereCarattere" w:customStyle="1">
    <w:name w:val="Carattere Carattere"/>
    <w:qFormat/>
    <w:rsid w:val="00c4627f"/>
    <w:rPr>
      <w:rFonts w:ascii="Tahoma" w:hAnsi="Tahoma" w:cs="Tahoma"/>
      <w:sz w:val="16"/>
      <w:szCs w:val="16"/>
    </w:rPr>
  </w:style>
  <w:style w:type="character" w:styleId="HTMLCode">
    <w:name w:val="HTML Code"/>
    <w:uiPriority w:val="99"/>
    <w:semiHidden/>
    <w:unhideWhenUsed/>
    <w:qFormat/>
    <w:rsid w:val="006835f4"/>
    <w:rPr>
      <w:rFonts w:ascii="Courier New" w:hAnsi="Courier New" w:eastAsia="Times New Roman" w:cs="Courier New"/>
      <w:sz w:val="20"/>
      <w:szCs w:val="20"/>
    </w:rPr>
  </w:style>
  <w:style w:type="character" w:styleId="Corpodeltesto3Carattere" w:customStyle="1">
    <w:name w:val="Corpo del testo 3 Carattere"/>
    <w:link w:val="BodyText3"/>
    <w:semiHidden/>
    <w:qFormat/>
    <w:rsid w:val="00db1659"/>
    <w:rPr>
      <w:szCs w:val="24"/>
    </w:rPr>
  </w:style>
  <w:style w:type="character" w:styleId="longtext" w:customStyle="1">
    <w:name w:val="longtext"/>
    <w:basedOn w:val="DefaultParagraphFont"/>
    <w:qFormat/>
    <w:rsid w:val="007a5173"/>
    <w:rPr/>
  </w:style>
  <w:style w:type="character" w:styleId="il" w:customStyle="1">
    <w:name w:val="il"/>
    <w:basedOn w:val="DefaultParagraphFont"/>
    <w:qFormat/>
    <w:rsid w:val="00740f5b"/>
    <w:rPr/>
  </w:style>
  <w:style w:type="character" w:styleId="apple-converted-space" w:customStyle="1">
    <w:name w:val="apple-converted-space"/>
    <w:basedOn w:val="DefaultParagraphFont"/>
    <w:qFormat/>
    <w:rsid w:val="00be1899"/>
    <w:rPr/>
  </w:style>
  <w:style w:type="character" w:styleId="CodiceCarattere" w:customStyle="1">
    <w:name w:val="Codice Carattere"/>
    <w:link w:val="Codice"/>
    <w:qFormat/>
    <w:rsid w:val="00737490"/>
    <w:rPr>
      <w:rFonts w:ascii="Courier New" w:hAnsi="Courier New" w:eastAsia="Calibri" w:cs="Courier New"/>
      <w:lang w:eastAsia="en-US"/>
    </w:rPr>
  </w:style>
  <w:style w:type="character" w:styleId="PreformattatoHTMLCarattere" w:customStyle="1">
    <w:name w:val="Preformattato HTML Carattere"/>
    <w:link w:val="HTMLPreformatted"/>
    <w:uiPriority w:val="99"/>
    <w:qFormat/>
    <w:rsid w:val="00737490"/>
    <w:rPr>
      <w:rFonts w:ascii="Arial Unicode MS" w:hAnsi="Arial Unicode MS" w:eastAsia="Arial Unicode MS" w:cs="Arial Unicode MS"/>
    </w:rPr>
  </w:style>
  <w:style w:type="character" w:styleId="Titolo1Carattere" w:customStyle="1">
    <w:name w:val="Titolo 1 Carattere"/>
    <w:uiPriority w:val="9"/>
    <w:qFormat/>
    <w:rsid w:val="00c04cb1"/>
    <w:rPr>
      <w:rFonts w:ascii="Arial" w:hAnsi="Arial"/>
      <w:b/>
      <w:sz w:val="28"/>
      <w:lang w:val="x-none" w:eastAsia="x-none"/>
    </w:rPr>
  </w:style>
  <w:style w:type="character" w:styleId="Titolo2Carattere" w:customStyle="1">
    <w:name w:val="Titolo 2 Carattere"/>
    <w:qFormat/>
    <w:rsid w:val="00c04cb1"/>
    <w:rPr>
      <w:rFonts w:ascii="Arial" w:hAnsi="Arial"/>
      <w:b/>
      <w:sz w:val="24"/>
      <w:lang w:val="x-none" w:eastAsia="x-none"/>
    </w:rPr>
  </w:style>
  <w:style w:type="character" w:styleId="Titolo3Carattere" w:customStyle="1">
    <w:name w:val="Titolo 3 Carattere"/>
    <w:uiPriority w:val="9"/>
    <w:qFormat/>
    <w:rsid w:val="00c04cb1"/>
    <w:rPr>
      <w:rFonts w:ascii="Arial" w:hAnsi="Arial"/>
      <w:b/>
      <w:sz w:val="22"/>
      <w:lang w:val="en-US" w:eastAsia="x-none"/>
    </w:rPr>
  </w:style>
  <w:style w:type="character" w:styleId="Titolo4Carattere" w:customStyle="1">
    <w:name w:val="Titolo 4 Carattere"/>
    <w:uiPriority w:val="9"/>
    <w:qFormat/>
    <w:rsid w:val="00c04cb1"/>
    <w:rPr>
      <w:b/>
      <w:bCs/>
      <w:i/>
      <w:iCs/>
      <w:sz w:val="22"/>
      <w:lang w:val="x-none" w:eastAsia="x-none"/>
    </w:rPr>
  </w:style>
  <w:style w:type="character" w:styleId="Titolo5Carattere" w:customStyle="1">
    <w:name w:val="Titolo 5 Carattere"/>
    <w:uiPriority w:val="9"/>
    <w:qFormat/>
    <w:rsid w:val="00c04cb1"/>
    <w:rPr>
      <w:rFonts w:ascii="Arial" w:hAnsi="Arial"/>
      <w:b/>
      <w:bCs/>
      <w:lang w:val="en-US" w:eastAsia="x-none"/>
    </w:rPr>
  </w:style>
  <w:style w:type="character" w:styleId="Titolo6Carattere" w:customStyle="1">
    <w:name w:val="Titolo 6 Carattere"/>
    <w:uiPriority w:val="9"/>
    <w:qFormat/>
    <w:rsid w:val="00c04cb1"/>
    <w:rPr>
      <w:rFonts w:ascii="Arial" w:hAnsi="Arial"/>
      <w:b/>
      <w:bCs/>
      <w:iCs/>
      <w:sz w:val="18"/>
      <w:lang w:val="en-US" w:eastAsia="x-none"/>
    </w:rPr>
  </w:style>
  <w:style w:type="character" w:styleId="Titolo7Carattere" w:customStyle="1">
    <w:name w:val="Titolo 7 Carattere"/>
    <w:uiPriority w:val="9"/>
    <w:qFormat/>
    <w:rsid w:val="00c04cb1"/>
    <w:rPr>
      <w:rFonts w:ascii="Arial" w:hAnsi="Arial"/>
      <w:lang w:val="x-none" w:eastAsia="x-none"/>
    </w:rPr>
  </w:style>
  <w:style w:type="character" w:styleId="Titolo8Carattere" w:customStyle="1">
    <w:name w:val="Titolo 8 Carattere"/>
    <w:uiPriority w:val="9"/>
    <w:qFormat/>
    <w:rsid w:val="00c04cb1"/>
    <w:rPr>
      <w:rFonts w:ascii="Arial" w:hAnsi="Arial"/>
      <w:i/>
      <w:lang w:val="x-none" w:eastAsia="x-none"/>
    </w:rPr>
  </w:style>
  <w:style w:type="character" w:styleId="Titolo9Carattere" w:customStyle="1">
    <w:name w:val="Titolo 9 Carattere"/>
    <w:uiPriority w:val="9"/>
    <w:qFormat/>
    <w:rsid w:val="00c04cb1"/>
    <w:rPr>
      <w:rFonts w:ascii="Arial" w:hAnsi="Arial"/>
      <w:b/>
      <w:i/>
      <w:sz w:val="18"/>
      <w:lang w:val="x-none" w:eastAsia="x-none"/>
    </w:rPr>
  </w:style>
  <w:style w:type="character" w:styleId="TestonotaapidipaginaCarattere" w:customStyle="1">
    <w:name w:val="Testo nota a piè di pagina Carattere"/>
    <w:basedOn w:val="DefaultParagraphFont"/>
    <w:uiPriority w:val="99"/>
    <w:qFormat/>
    <w:rsid w:val="00c04cb1"/>
    <w:rPr/>
  </w:style>
  <w:style w:type="character" w:styleId="IntestazioneCarattere" w:customStyle="1">
    <w:name w:val="Intestazione Carattere"/>
    <w:basedOn w:val="DefaultParagraphFont"/>
    <w:uiPriority w:val="99"/>
    <w:qFormat/>
    <w:rsid w:val="00c04cb1"/>
    <w:rPr/>
  </w:style>
  <w:style w:type="character" w:styleId="PidipaginaCarattere" w:customStyle="1">
    <w:name w:val="Piè di pagina Carattere"/>
    <w:uiPriority w:val="99"/>
    <w:qFormat/>
    <w:rsid w:val="00c04cb1"/>
    <w:rPr>
      <w:sz w:val="16"/>
    </w:rPr>
  </w:style>
  <w:style w:type="character" w:styleId="TestofumettoCarattere" w:customStyle="1">
    <w:name w:val="Testo fumetto Carattere"/>
    <w:link w:val="BalloonText"/>
    <w:uiPriority w:val="99"/>
    <w:qFormat/>
    <w:rsid w:val="00c04cb1"/>
    <w:rPr>
      <w:rFonts w:ascii="Tahoma" w:hAnsi="Tahoma" w:cs="Tahoma"/>
      <w:sz w:val="16"/>
      <w:szCs w:val="16"/>
    </w:rPr>
  </w:style>
  <w:style w:type="character" w:styleId="CorpotestoCarattere" w:customStyle="1">
    <w:name w:val="Corpo testo Carattere"/>
    <w:link w:val="1"/>
    <w:qFormat/>
    <w:rsid w:val="00c04cb1"/>
    <w:rPr>
      <w:rFonts w:ascii="Verdana" w:hAnsi="Verdana" w:eastAsia="Lucida Sans Unicode" w:cs="Tahoma"/>
      <w:color w:val="000000"/>
      <w:szCs w:val="24"/>
      <w:lang w:eastAsia="en-US" w:bidi="en-US"/>
    </w:rPr>
  </w:style>
  <w:style w:type="character" w:styleId="MappadocumentoCarattere" w:customStyle="1">
    <w:name w:val="Mappa documento Carattere"/>
    <w:link w:val="DocumentMap"/>
    <w:uiPriority w:val="99"/>
    <w:semiHidden/>
    <w:qFormat/>
    <w:rsid w:val="00c04cb1"/>
    <w:rPr>
      <w:rFonts w:ascii="Tahoma" w:hAnsi="Tahoma" w:cs="Tahoma"/>
      <w:shd w:fill="000080" w:val="clear"/>
    </w:rPr>
  </w:style>
  <w:style w:type="character" w:styleId="Corpodeltesto2Carattere" w:customStyle="1">
    <w:name w:val="Corpo del testo 2 Carattere"/>
    <w:link w:val="BodyText2"/>
    <w:uiPriority w:val="99"/>
    <w:semiHidden/>
    <w:qFormat/>
    <w:rsid w:val="00c04cb1"/>
    <w:rPr>
      <w:sz w:val="24"/>
    </w:rPr>
  </w:style>
  <w:style w:type="character" w:styleId="TestonotadichiusuraCarattere" w:customStyle="1">
    <w:name w:val="Testo nota di chiusura Carattere"/>
    <w:basedOn w:val="DefaultParagraphFont"/>
    <w:uiPriority w:val="99"/>
    <w:semiHidden/>
    <w:qFormat/>
    <w:rsid w:val="007b4b25"/>
    <w:rPr/>
  </w:style>
  <w:style w:type="character" w:styleId="EndnoteCharacters" w:customStyle="1">
    <w:name w:val="Endnote Characters"/>
    <w:uiPriority w:val="99"/>
    <w:semiHidden/>
    <w:unhideWhenUsed/>
    <w:qFormat/>
    <w:rsid w:val="007b4b25"/>
    <w:rPr>
      <w:vertAlign w:val="superscript"/>
    </w:rPr>
  </w:style>
  <w:style w:type="character" w:styleId="Caratterinotadichiusurauser">
    <w:name w:val="Caratteri nota di chiusura (user)"/>
    <w:qFormat/>
    <w:rPr>
      <w:vertAlign w:val="superscript"/>
    </w:rPr>
  </w:style>
  <w:style w:type="character" w:styleId="Caratterinotadichiusura">
    <w:name w:val="Caratteri nota di chiusura"/>
    <w:qFormat/>
    <w:rPr>
      <w:vertAlign w:val="superscript"/>
    </w:rPr>
  </w:style>
  <w:style w:type="character" w:styleId="EndnoteReference">
    <w:name w:val="endnote reference"/>
    <w:rPr>
      <w:vertAlign w:val="superscript"/>
    </w:rPr>
  </w:style>
  <w:style w:type="character" w:styleId="CorpodeltestoCarattere" w:customStyle="1">
    <w:name w:val="Corpo del testo Carattere"/>
    <w:qFormat/>
    <w:rsid w:val="001039f2"/>
    <w:rPr>
      <w:rFonts w:ascii="Verdana" w:hAnsi="Verdana" w:eastAsia="Lucida Sans Unicode" w:cs="Tahoma"/>
      <w:color w:val="000000"/>
      <w:szCs w:val="24"/>
      <w:lang w:eastAsia="en-US" w:bidi="en-US"/>
    </w:rPr>
  </w:style>
  <w:style w:type="character" w:styleId="TestocommentoCarattere" w:customStyle="1">
    <w:name w:val="Testo commento Carattere"/>
    <w:semiHidden/>
    <w:qFormat/>
    <w:rsid w:val="001039f2"/>
    <w:rPr>
      <w:sz w:val="24"/>
    </w:rPr>
  </w:style>
  <w:style w:type="character" w:styleId="CorpotestoCarattere1" w:customStyle="1">
    <w:name w:val="Corpo testo Carattere1"/>
    <w:basedOn w:val="DefaultParagraphFont"/>
    <w:semiHidden/>
    <w:qFormat/>
    <w:rsid w:val="003e42b9"/>
    <w:rPr/>
  </w:style>
  <w:style w:type="character" w:styleId="UnresolvedMention">
    <w:name w:val="Unresolved Mention"/>
    <w:uiPriority w:val="99"/>
    <w:semiHidden/>
    <w:unhideWhenUsed/>
    <w:qFormat/>
    <w:rsid w:val="004052ee"/>
    <w:rPr>
      <w:color w:val="605E5C"/>
      <w:shd w:fill="E1DFDD" w:val="clear"/>
    </w:rPr>
  </w:style>
  <w:style w:type="character" w:styleId="ui-provider" w:customStyle="1">
    <w:name w:val="ui-provider"/>
    <w:basedOn w:val="DefaultParagraphFont"/>
    <w:qFormat/>
    <w:rsid w:val="00f37d26"/>
    <w:rPr/>
  </w:style>
  <w:style w:type="character" w:styleId="Saltoaindiceuser" w:customStyle="1">
    <w:name w:val="Salto a indice (user)"/>
    <w:qFormat/>
    <w:rPr/>
  </w:style>
  <w:style w:type="character" w:styleId="Saltoaindice">
    <w:name w:val="Salto a indice"/>
    <w:qFormat/>
    <w:rPr/>
  </w:style>
  <w:style w:type="paragraph" w:styleId="Titolo">
    <w:name w:val="Tito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CorpotestoCarattere1"/>
    <w:semiHidden/>
    <w:unhideWhenUsed/>
    <w:rsid w:val="003e42b9"/>
    <w:pPr>
      <w:spacing w:before="120" w:after="120"/>
    </w:pPr>
    <w:rPr/>
  </w:style>
  <w:style w:type="paragraph" w:styleId="List">
    <w:name w:val="List"/>
    <w:basedOn w:val="BodyText"/>
    <w:pPr/>
    <w:rPr>
      <w:rFonts w:cs="Arial Unicode MS"/>
    </w:rPr>
  </w:style>
  <w:style w:type="paragraph" w:styleId="Caption">
    <w:name w:val="caption"/>
    <w:basedOn w:val="Normal"/>
    <w:next w:val="Normal"/>
    <w:qFormat/>
    <w:rsid w:val="00c4627f"/>
    <w:pPr>
      <w:spacing w:before="120" w:after="120"/>
      <w:jc w:val="center"/>
    </w:pPr>
    <w:rPr>
      <w:b/>
    </w:rPr>
  </w:style>
  <w:style w:type="paragraph" w:styleId="Indice">
    <w:name w:val="Indice"/>
    <w:basedOn w:val="Normal"/>
    <w:qFormat/>
    <w:pPr>
      <w:suppressLineNumbers/>
    </w:pPr>
    <w:rPr>
      <w:rFonts w:cs="Lucida Sans"/>
    </w:rPr>
  </w:style>
  <w:style w:type="paragraph" w:styleId="Titolouser" w:customStyle="1">
    <w:name w:val="Titolo (user)"/>
    <w:basedOn w:val="Normal"/>
    <w:next w:val="BodyText"/>
    <w:qFormat/>
    <w:pPr>
      <w:keepNext w:val="true"/>
      <w:spacing w:before="240" w:after="120"/>
    </w:pPr>
    <w:rPr>
      <w:rFonts w:ascii="Liberation Sans" w:hAnsi="Liberation Sans" w:eastAsia="PingFang SC" w:cs="Arial Unicode MS"/>
      <w:sz w:val="28"/>
      <w:szCs w:val="28"/>
    </w:rPr>
  </w:style>
  <w:style w:type="paragraph" w:styleId="Indiceuser" w:customStyle="1">
    <w:name w:val="Indice (user)"/>
    <w:basedOn w:val="Normal"/>
    <w:qFormat/>
    <w:pPr>
      <w:suppressLineNumbers/>
    </w:pPr>
    <w:rPr>
      <w:rFonts w:cs="Arial Unicode MS"/>
    </w:rPr>
  </w:style>
  <w:style w:type="paragraph" w:styleId="Coplogo-titolo" w:customStyle="1">
    <w:name w:val="Cop. logo-titolo"/>
    <w:qFormat/>
    <w:rsid w:val="00c4627f"/>
    <w:pPr>
      <w:widowControl/>
      <w:suppressAutoHyphens w:val="true"/>
      <w:bidi w:val="0"/>
      <w:spacing w:before="0" w:after="0"/>
      <w:jc w:val="center"/>
    </w:pPr>
    <w:rPr>
      <w:rFonts w:ascii="Arial" w:hAnsi="Arial" w:eastAsia="Times New Roman" w:cs="Times New Roman"/>
      <w:b/>
      <w:caps/>
      <w:color w:val="auto"/>
      <w:kern w:val="0"/>
      <w:sz w:val="100"/>
      <w:szCs w:val="20"/>
      <w:lang w:val="it-IT" w:eastAsia="it-IT" w:bidi="ar-SA"/>
    </w:rPr>
  </w:style>
  <w:style w:type="paragraph" w:styleId="Coptitolodocumento" w:customStyle="1">
    <w:name w:val="Cop. titolo documento"/>
    <w:qFormat/>
    <w:rsid w:val="00c4627f"/>
    <w:pPr>
      <w:widowControl/>
      <w:suppressAutoHyphens w:val="true"/>
      <w:bidi w:val="0"/>
      <w:spacing w:before="0" w:after="0"/>
      <w:jc w:val="center"/>
    </w:pPr>
    <w:rPr>
      <w:rFonts w:ascii="Arial" w:hAnsi="Arial" w:eastAsia="Times New Roman" w:cs="Times New Roman"/>
      <w:b/>
      <w:color w:val="auto"/>
      <w:kern w:val="0"/>
      <w:sz w:val="48"/>
      <w:szCs w:val="20"/>
      <w:lang w:val="it-IT" w:eastAsia="it-IT" w:bidi="ar-SA"/>
    </w:rPr>
  </w:style>
  <w:style w:type="paragraph" w:styleId="BodyText3">
    <w:name w:val="Body Text 3"/>
    <w:basedOn w:val="Normal"/>
    <w:link w:val="Corpodeltesto3Carattere"/>
    <w:semiHidden/>
    <w:qFormat/>
    <w:rsid w:val="00c4627f"/>
    <w:pPr>
      <w:spacing w:lineRule="auto" w:line="360" w:before="0" w:after="0"/>
      <w:ind w:left="567" w:right="641"/>
    </w:pPr>
    <w:rPr>
      <w:szCs w:val="24"/>
      <w:lang w:val="x-none" w:eastAsia="x-none"/>
    </w:rPr>
  </w:style>
  <w:style w:type="paragraph" w:styleId="Index1">
    <w:name w:val="index 1"/>
    <w:basedOn w:val="Normal"/>
    <w:next w:val="Normal"/>
    <w:autoRedefine/>
    <w:semiHidden/>
    <w:rsid w:val="00c4627f"/>
    <w:pPr>
      <w:ind w:hanging="200" w:left="200"/>
    </w:pPr>
    <w:rPr/>
  </w:style>
  <w:style w:type="paragraph" w:styleId="Intestazioneepidipaginauser" w:customStyle="1">
    <w:name w:val="Intestazione e piè di pagina (user)"/>
    <w:basedOn w:val="Normal"/>
    <w:qFormat/>
    <w:pPr/>
    <w:rPr/>
  </w:style>
  <w:style w:type="paragraph" w:styleId="Intestazioneepidipagina">
    <w:name w:val="Intestazione e piè di pagina"/>
    <w:basedOn w:val="Normal"/>
    <w:qFormat/>
    <w:pPr/>
    <w:rPr/>
  </w:style>
  <w:style w:type="paragraph" w:styleId="Header">
    <w:name w:val="header"/>
    <w:basedOn w:val="Normal"/>
    <w:link w:val="IntestazioneCarattere"/>
    <w:uiPriority w:val="99"/>
    <w:rsid w:val="00c4627f"/>
    <w:pPr>
      <w:tabs>
        <w:tab w:val="clear" w:pos="720"/>
        <w:tab w:val="center" w:pos="4819" w:leader="none"/>
        <w:tab w:val="right" w:pos="9638" w:leader="none"/>
      </w:tabs>
    </w:pPr>
    <w:rPr/>
  </w:style>
  <w:style w:type="paragraph" w:styleId="Listepte" w:customStyle="1">
    <w:name w:val="Listepte"/>
    <w:next w:val="Normal"/>
    <w:qFormat/>
    <w:rsid w:val="00c4627f"/>
    <w:pPr>
      <w:keepLines/>
      <w:widowControl/>
      <w:tabs>
        <w:tab w:val="clear" w:pos="720"/>
        <w:tab w:val="left" w:pos="1134" w:leader="none"/>
      </w:tabs>
      <w:suppressAutoHyphens w:val="true"/>
      <w:bidi w:val="0"/>
      <w:spacing w:lineRule="atLeast" w:line="280" w:before="120" w:after="0"/>
      <w:ind w:hanging="283" w:left="1134"/>
      <w:jc w:val="both"/>
    </w:pPr>
    <w:rPr>
      <w:rFonts w:ascii="Arial" w:hAnsi="Arial" w:eastAsia="Times New Roman" w:cs="Times New Roman"/>
      <w:color w:val="auto"/>
      <w:kern w:val="0"/>
      <w:sz w:val="20"/>
      <w:szCs w:val="20"/>
      <w:lang w:val="en-GB" w:eastAsia="it-IT" w:bidi="ar-SA"/>
    </w:rPr>
  </w:style>
  <w:style w:type="paragraph" w:styleId="listnum" w:customStyle="1">
    <w:name w:val="listnum"/>
    <w:basedOn w:val="Listepte"/>
    <w:next w:val="Normal"/>
    <w:qFormat/>
    <w:rsid w:val="00c4627f"/>
    <w:pPr>
      <w:tabs>
        <w:tab w:val="left" w:pos="1134" w:leader="none"/>
        <w:tab w:val="left" w:pos="1211" w:leader="none"/>
      </w:tabs>
      <w:ind w:hanging="360" w:left="1211"/>
    </w:pPr>
    <w:rPr/>
  </w:style>
  <w:style w:type="paragraph" w:styleId="NomeProgetto" w:customStyle="1">
    <w:name w:val="Nome Progetto"/>
    <w:basedOn w:val="Normal"/>
    <w:next w:val="TitoloDoc"/>
    <w:qFormat/>
    <w:rsid w:val="00c4627f"/>
    <w:pPr>
      <w:spacing w:before="1320" w:after="0"/>
      <w:ind w:left="0"/>
      <w:jc w:val="center"/>
    </w:pPr>
    <w:rPr>
      <w:b/>
      <w:sz w:val="100"/>
    </w:rPr>
  </w:style>
  <w:style w:type="paragraph" w:styleId="TitoloDoc" w:customStyle="1">
    <w:name w:val="Titolo_Doc"/>
    <w:basedOn w:val="Normal"/>
    <w:next w:val="Versdoc"/>
    <w:qFormat/>
    <w:rsid w:val="00c4627f"/>
    <w:pPr>
      <w:spacing w:lineRule="auto" w:line="240"/>
      <w:ind w:left="0"/>
      <w:jc w:val="center"/>
    </w:pPr>
    <w:rPr>
      <w:b/>
      <w:sz w:val="50"/>
    </w:rPr>
  </w:style>
  <w:style w:type="paragraph" w:styleId="Versdoc" w:customStyle="1">
    <w:name w:val="Versdoc"/>
    <w:basedOn w:val="Normal"/>
    <w:qFormat/>
    <w:rsid w:val="00c4627f"/>
    <w:pPr>
      <w:ind w:left="0"/>
      <w:jc w:val="center"/>
    </w:pPr>
    <w:rPr>
      <w:sz w:val="24"/>
    </w:rPr>
  </w:style>
  <w:style w:type="paragraph" w:styleId="Footer">
    <w:name w:val="footer"/>
    <w:basedOn w:val="Normal"/>
    <w:link w:val="PidipaginaCarattere"/>
    <w:uiPriority w:val="99"/>
    <w:rsid w:val="00c4627f"/>
    <w:pPr>
      <w:pBdr>
        <w:top w:val="single" w:sz="6" w:space="1" w:color="000000"/>
      </w:pBdr>
      <w:tabs>
        <w:tab w:val="clear" w:pos="720"/>
        <w:tab w:val="center" w:pos="4253" w:leader="none"/>
        <w:tab w:val="right" w:pos="7938" w:leader="none"/>
      </w:tabs>
      <w:spacing w:lineRule="auto" w:line="240"/>
      <w:ind w:left="0"/>
    </w:pPr>
    <w:rPr>
      <w:sz w:val="16"/>
      <w:lang w:val="x-none" w:eastAsia="x-none"/>
    </w:rPr>
  </w:style>
  <w:style w:type="paragraph" w:styleId="BodyTextIndent">
    <w:name w:val="Body Text Indent"/>
    <w:basedOn w:val="Normal"/>
    <w:semiHidden/>
    <w:rsid w:val="00c4627f"/>
    <w:pPr>
      <w:keepLines w:val="false"/>
      <w:spacing w:lineRule="auto" w:line="240" w:before="0" w:after="0"/>
      <w:ind w:left="360"/>
      <w:jc w:val="both"/>
    </w:pPr>
    <w:rPr>
      <w:sz w:val="24"/>
    </w:rPr>
  </w:style>
  <w:style w:type="paragraph" w:styleId="BodyTextIndent2">
    <w:name w:val="Body Text Indent 2"/>
    <w:basedOn w:val="Normal"/>
    <w:semiHidden/>
    <w:qFormat/>
    <w:rsid w:val="00c4627f"/>
    <w:pPr/>
    <w:rPr>
      <w:b/>
      <w:bCs/>
    </w:rPr>
  </w:style>
  <w:style w:type="paragraph" w:styleId="BodyTextIndent3">
    <w:name w:val="Body Text Indent 3"/>
    <w:basedOn w:val="Normal"/>
    <w:autoRedefine/>
    <w:semiHidden/>
    <w:qFormat/>
    <w:rsid w:val="00c4627f"/>
    <w:pPr>
      <w:spacing w:lineRule="auto" w:line="240" w:before="0" w:after="120"/>
      <w:ind w:left="1440"/>
    </w:pPr>
    <w:rPr>
      <w:vanish/>
      <w:color w:val="000000"/>
      <w:szCs w:val="16"/>
    </w:rPr>
  </w:style>
  <w:style w:type="paragraph" w:styleId="TOC1">
    <w:name w:val="toc 1"/>
    <w:basedOn w:val="Normal"/>
    <w:next w:val="Normal"/>
    <w:uiPriority w:val="39"/>
    <w:rsid w:val="00c4627f"/>
    <w:pPr>
      <w:tabs>
        <w:tab w:val="clear" w:pos="720"/>
        <w:tab w:val="right" w:pos="7938" w:leader="dot"/>
      </w:tabs>
      <w:spacing w:lineRule="atLeast" w:line="300" w:before="240" w:after="0"/>
      <w:ind w:hanging="284" w:left="284"/>
    </w:pPr>
    <w:rPr>
      <w:b/>
    </w:rPr>
  </w:style>
  <w:style w:type="paragraph" w:styleId="TOC2">
    <w:name w:val="toc 2"/>
    <w:basedOn w:val="Normal"/>
    <w:next w:val="Normal"/>
    <w:uiPriority w:val="39"/>
    <w:rsid w:val="00c4627f"/>
    <w:pPr>
      <w:tabs>
        <w:tab w:val="clear" w:pos="720"/>
        <w:tab w:val="left" w:pos="1200" w:leader="none"/>
        <w:tab w:val="right" w:pos="7938" w:leader="dot"/>
      </w:tabs>
      <w:ind w:hanging="284" w:left="567"/>
    </w:pPr>
    <w:rPr/>
  </w:style>
  <w:style w:type="paragraph" w:styleId="TOC3">
    <w:name w:val="toc 3"/>
    <w:basedOn w:val="Normal"/>
    <w:next w:val="Normal"/>
    <w:uiPriority w:val="39"/>
    <w:rsid w:val="00c4627f"/>
    <w:pPr>
      <w:tabs>
        <w:tab w:val="clear" w:pos="720"/>
        <w:tab w:val="left" w:pos="1200" w:leader="none"/>
        <w:tab w:val="right" w:pos="7938" w:leader="dot"/>
      </w:tabs>
      <w:ind w:left="567"/>
    </w:pPr>
    <w:rPr/>
  </w:style>
  <w:style w:type="paragraph" w:styleId="TOC4">
    <w:name w:val="toc 4"/>
    <w:basedOn w:val="Normal"/>
    <w:next w:val="Normal"/>
    <w:uiPriority w:val="39"/>
    <w:rsid w:val="00c4627f"/>
    <w:pPr>
      <w:ind w:left="600"/>
    </w:pPr>
    <w:rPr/>
  </w:style>
  <w:style w:type="paragraph" w:styleId="TOC5">
    <w:name w:val="toc 5"/>
    <w:basedOn w:val="Normal"/>
    <w:next w:val="Normal"/>
    <w:uiPriority w:val="39"/>
    <w:rsid w:val="00c4627f"/>
    <w:pPr>
      <w:ind w:left="800"/>
    </w:pPr>
    <w:rPr/>
  </w:style>
  <w:style w:type="paragraph" w:styleId="TOC6">
    <w:name w:val="toc 6"/>
    <w:basedOn w:val="Normal"/>
    <w:next w:val="Normal"/>
    <w:uiPriority w:val="39"/>
    <w:rsid w:val="00c4627f"/>
    <w:pPr>
      <w:ind w:left="1000"/>
    </w:pPr>
    <w:rPr/>
  </w:style>
  <w:style w:type="paragraph" w:styleId="TOC7">
    <w:name w:val="toc 7"/>
    <w:basedOn w:val="Normal"/>
    <w:next w:val="Normal"/>
    <w:uiPriority w:val="39"/>
    <w:rsid w:val="00c4627f"/>
    <w:pPr>
      <w:ind w:left="1200"/>
    </w:pPr>
    <w:rPr/>
  </w:style>
  <w:style w:type="paragraph" w:styleId="TOC8">
    <w:name w:val="toc 8"/>
    <w:basedOn w:val="Normal"/>
    <w:next w:val="Normal"/>
    <w:uiPriority w:val="39"/>
    <w:rsid w:val="00c4627f"/>
    <w:pPr>
      <w:ind w:left="1400"/>
    </w:pPr>
    <w:rPr/>
  </w:style>
  <w:style w:type="paragraph" w:styleId="TOC9">
    <w:name w:val="toc 9"/>
    <w:basedOn w:val="Normal"/>
    <w:next w:val="Normal"/>
    <w:uiPriority w:val="39"/>
    <w:rsid w:val="00c4627f"/>
    <w:pPr>
      <w:ind w:left="1600"/>
    </w:pPr>
    <w:rPr/>
  </w:style>
  <w:style w:type="paragraph" w:styleId="sottolistepte" w:customStyle="1">
    <w:name w:val="sottolistepte"/>
    <w:basedOn w:val="Listepte"/>
    <w:next w:val="Normal"/>
    <w:qFormat/>
    <w:rsid w:val="00c4627f"/>
    <w:pPr>
      <w:tabs>
        <w:tab w:val="clear" w:pos="1134"/>
        <w:tab w:val="left" w:pos="1418" w:leader="none"/>
      </w:tabs>
      <w:ind w:hanging="284" w:left="1418"/>
    </w:pPr>
    <w:rPr/>
  </w:style>
  <w:style w:type="paragraph" w:styleId="Titoletto" w:customStyle="1">
    <w:name w:val="Titoletto"/>
    <w:basedOn w:val="Normal"/>
    <w:next w:val="Normal"/>
    <w:qFormat/>
    <w:rsid w:val="00c4627f"/>
    <w:pPr>
      <w:spacing w:before="360" w:after="0"/>
    </w:pPr>
    <w:rPr>
      <w:b/>
      <w:sz w:val="24"/>
    </w:rPr>
  </w:style>
  <w:style w:type="paragraph" w:styleId="Tabellauser" w:customStyle="1">
    <w:name w:val="Tabella (user)"/>
    <w:basedOn w:val="Normal"/>
    <w:qFormat/>
    <w:rsid w:val="00c4627f"/>
    <w:pPr>
      <w:tabs>
        <w:tab w:val="clear" w:pos="720"/>
        <w:tab w:val="left" w:pos="851" w:leader="none"/>
        <w:tab w:val="left" w:pos="2268" w:leader="none"/>
        <w:tab w:val="left" w:pos="3119" w:leader="none"/>
        <w:tab w:val="left" w:pos="4536" w:leader="none"/>
      </w:tabs>
      <w:ind w:left="0"/>
    </w:pPr>
    <w:rPr/>
  </w:style>
  <w:style w:type="paragraph" w:styleId="CommentText">
    <w:name w:val="annotation text"/>
    <w:basedOn w:val="Normal"/>
    <w:link w:val="TestocommentoCarattere"/>
    <w:semiHidden/>
    <w:rsid w:val="00c4627f"/>
    <w:pPr>
      <w:keepLines w:val="false"/>
      <w:spacing w:lineRule="auto" w:line="240" w:before="0" w:after="0"/>
      <w:ind w:left="0"/>
    </w:pPr>
    <w:rPr>
      <w:sz w:val="24"/>
      <w:lang w:val="x-none" w:eastAsia="x-none"/>
    </w:rPr>
  </w:style>
  <w:style w:type="paragraph" w:styleId="TestoReport" w:customStyle="1">
    <w:name w:val="Testo Report"/>
    <w:basedOn w:val="Normal"/>
    <w:next w:val="Normal"/>
    <w:qFormat/>
    <w:rsid w:val="00c4627f"/>
    <w:pPr>
      <w:widowControl w:val="false"/>
      <w:spacing w:lineRule="auto" w:line="240" w:before="0" w:after="0"/>
      <w:ind w:left="0"/>
    </w:pPr>
    <w:rPr>
      <w:rFonts w:ascii="Courier New" w:hAnsi="Courier New"/>
      <w:sz w:val="16"/>
    </w:rPr>
  </w:style>
  <w:style w:type="paragraph" w:styleId="Tit1" w:customStyle="1">
    <w:name w:val="Tit 1"/>
    <w:basedOn w:val="Heading1"/>
    <w:next w:val="Normal"/>
    <w:qFormat/>
    <w:rsid w:val="00c4627f"/>
    <w:pPr>
      <w:numPr>
        <w:ilvl w:val="0"/>
        <w:numId w:val="0"/>
      </w:numPr>
      <w:ind w:hanging="851" w:left="851"/>
      <w:outlineLvl w:val="9"/>
    </w:pPr>
    <w:rPr/>
  </w:style>
  <w:style w:type="paragraph" w:styleId="Tit2" w:customStyle="1">
    <w:name w:val="Tit 2"/>
    <w:basedOn w:val="Heading2"/>
    <w:qFormat/>
    <w:rsid w:val="00c4627f"/>
    <w:pPr>
      <w:numPr>
        <w:ilvl w:val="0"/>
        <w:numId w:val="0"/>
      </w:numPr>
      <w:ind w:hanging="851" w:left="851"/>
      <w:outlineLvl w:val="9"/>
    </w:pPr>
    <w:rPr/>
  </w:style>
  <w:style w:type="paragraph" w:styleId="TitoloReport" w:customStyle="1">
    <w:name w:val="Titolo Report"/>
    <w:next w:val="Normal"/>
    <w:qFormat/>
    <w:rsid w:val="00c4627f"/>
    <w:pPr>
      <w:keepLines/>
      <w:pageBreakBefore/>
      <w:widowControl/>
      <w:suppressAutoHyphens w:val="true"/>
      <w:bidi w:val="0"/>
      <w:spacing w:before="0" w:after="0"/>
      <w:jc w:val="center"/>
    </w:pPr>
    <w:rPr>
      <w:rFonts w:ascii="Arial" w:hAnsi="Arial" w:eastAsia="Times New Roman" w:cs="Times New Roman"/>
      <w:b/>
      <w:color w:val="auto"/>
      <w:kern w:val="0"/>
      <w:sz w:val="32"/>
      <w:szCs w:val="20"/>
      <w:lang w:val="it-IT" w:eastAsia="it-IT" w:bidi="ar-SA"/>
    </w:rPr>
  </w:style>
  <w:style w:type="paragraph" w:styleId="TitSezOggettoReport" w:customStyle="1">
    <w:name w:val="Tit.Sez.Oggetto Report"/>
    <w:basedOn w:val="TitoloReport"/>
    <w:next w:val="Normal"/>
    <w:qFormat/>
    <w:rsid w:val="00c4627f"/>
    <w:pPr>
      <w:keepLines w:val="false"/>
      <w:pageBreakBefore w:val="false"/>
      <w:widowControl w:val="false"/>
      <w:jc w:val="left"/>
    </w:pPr>
    <w:rPr>
      <w:sz w:val="20"/>
    </w:rPr>
  </w:style>
  <w:style w:type="paragraph" w:styleId="TitSottosezOggettoReport" w:customStyle="1">
    <w:name w:val="Tit.Sottosez. Oggetto Report"/>
    <w:basedOn w:val="Normal"/>
    <w:next w:val="Normal"/>
    <w:qFormat/>
    <w:rsid w:val="00c4627f"/>
    <w:pPr>
      <w:widowControl w:val="false"/>
      <w:spacing w:lineRule="auto" w:line="240" w:before="0" w:after="0"/>
      <w:ind w:left="0"/>
    </w:pPr>
    <w:rPr>
      <w:rFonts w:ascii="Courier New" w:hAnsi="Courier New"/>
      <w:b/>
      <w:sz w:val="16"/>
    </w:rPr>
  </w:style>
  <w:style w:type="paragraph" w:styleId="Titol1senzanum" w:customStyle="1">
    <w:name w:val="Titol1senzanum"/>
    <w:basedOn w:val="Heading1"/>
    <w:next w:val="Normal"/>
    <w:qFormat/>
    <w:rsid w:val="00c4627f"/>
    <w:pPr>
      <w:numPr>
        <w:ilvl w:val="0"/>
        <w:numId w:val="1"/>
      </w:numPr>
      <w:ind w:hanging="567" w:left="567"/>
      <w:outlineLvl w:val="9"/>
    </w:pPr>
    <w:rPr>
      <w:smallCaps/>
    </w:rPr>
  </w:style>
  <w:style w:type="paragraph" w:styleId="Titol2senzanum" w:customStyle="1">
    <w:name w:val="Titol2senzanum"/>
    <w:basedOn w:val="Heading2"/>
    <w:next w:val="Normal"/>
    <w:qFormat/>
    <w:rsid w:val="00c4627f"/>
    <w:pPr>
      <w:numPr>
        <w:ilvl w:val="1"/>
        <w:numId w:val="1"/>
      </w:numPr>
      <w:ind w:hanging="851" w:left="851"/>
      <w:outlineLvl w:val="9"/>
    </w:pPr>
    <w:rPr/>
  </w:style>
  <w:style w:type="paragraph" w:styleId="TitoloIndice" w:customStyle="1">
    <w:name w:val="Titolo Indice"/>
    <w:basedOn w:val="Normal"/>
    <w:next w:val="Normal"/>
    <w:qFormat/>
    <w:rsid w:val="00c4627f"/>
    <w:pPr>
      <w:keepLines w:val="false"/>
      <w:widowControl w:val="false"/>
      <w:pBdr>
        <w:top w:val="single" w:sz="6" w:space="1" w:color="000000"/>
        <w:left w:val="single" w:sz="6" w:space="4" w:color="000000"/>
        <w:bottom w:val="single" w:sz="6" w:space="1" w:color="000000"/>
        <w:right w:val="single" w:sz="6" w:space="4" w:color="000000"/>
      </w:pBdr>
      <w:spacing w:lineRule="auto" w:line="240" w:before="0" w:after="0"/>
      <w:ind w:left="0"/>
      <w:jc w:val="center"/>
    </w:pPr>
    <w:rPr>
      <w:b/>
      <w:caps/>
      <w:sz w:val="24"/>
    </w:rPr>
  </w:style>
  <w:style w:type="paragraph" w:styleId="IndexHeading">
    <w:name w:val="index heading"/>
    <w:basedOn w:val="Normal"/>
    <w:next w:val="Normal"/>
    <w:semiHidden/>
    <w:rsid w:val="00c4627f"/>
    <w:pPr>
      <w:spacing w:before="240" w:after="120"/>
      <w:jc w:val="center"/>
    </w:pPr>
    <w:rPr>
      <w:b/>
      <w:sz w:val="26"/>
    </w:rPr>
  </w:style>
  <w:style w:type="paragraph" w:styleId="Vers-datadocum" w:customStyle="1">
    <w:name w:val="Vers.-data docum."/>
    <w:qFormat/>
    <w:rsid w:val="00c4627f"/>
    <w:pPr>
      <w:widowControl/>
      <w:suppressAutoHyphens w:val="true"/>
      <w:bidi w:val="0"/>
      <w:spacing w:before="0" w:after="0"/>
      <w:jc w:val="center"/>
    </w:pPr>
    <w:rPr>
      <w:rFonts w:ascii="Arial" w:hAnsi="Arial" w:eastAsia="Times New Roman" w:cs="Times New Roman"/>
      <w:color w:val="auto"/>
      <w:kern w:val="0"/>
      <w:sz w:val="24"/>
      <w:szCs w:val="20"/>
      <w:lang w:val="it-IT" w:eastAsia="it-IT" w:bidi="ar-SA"/>
    </w:rPr>
  </w:style>
  <w:style w:type="paragraph" w:styleId="Tucs" w:customStyle="1">
    <w:name w:val="Tucs"/>
    <w:basedOn w:val="Titoletto"/>
    <w:qFormat/>
    <w:rsid w:val="00c4627f"/>
    <w:pPr/>
    <w:rPr/>
  </w:style>
  <w:style w:type="paragraph" w:styleId="UseCaseSection" w:customStyle="1">
    <w:name w:val="UseCaseSection"/>
    <w:qFormat/>
    <w:rsid w:val="00c4627f"/>
    <w:pPr>
      <w:widowControl/>
      <w:suppressAutoHyphens w:val="true"/>
      <w:bidi w:val="0"/>
      <w:spacing w:before="0" w:after="0"/>
      <w:ind w:left="851"/>
      <w:jc w:val="both"/>
    </w:pPr>
    <w:rPr>
      <w:rFonts w:ascii="Arial" w:hAnsi="Arial" w:eastAsia="Times New Roman" w:cs="Times New Roman"/>
      <w:color w:val="auto"/>
      <w:kern w:val="0"/>
      <w:sz w:val="20"/>
      <w:szCs w:val="20"/>
      <w:lang w:val="it-IT" w:eastAsia="it-IT" w:bidi="ar-SA"/>
    </w:rPr>
  </w:style>
  <w:style w:type="paragraph" w:styleId="Campodiapplicazione" w:customStyle="1">
    <w:name w:val="&lt;$$Campo di applicazione$$&gt;"/>
    <w:basedOn w:val="UseCaseSection"/>
    <w:next w:val="UseCaseSection"/>
    <w:qFormat/>
    <w:rsid w:val="00c4627f"/>
    <w:pPr/>
    <w:rPr/>
  </w:style>
  <w:style w:type="paragraph" w:styleId="Evoluzione" w:customStyle="1">
    <w:name w:val="&lt;$$Evoluzione$$&gt;"/>
    <w:basedOn w:val="UseCaseSection"/>
    <w:next w:val="Normal"/>
    <w:qFormat/>
    <w:rsid w:val="00c4627f"/>
    <w:pPr/>
    <w:rPr/>
  </w:style>
  <w:style w:type="paragraph" w:styleId="Flussoalternativo" w:customStyle="1">
    <w:name w:val="&lt;$$Flusso alternativo$$&gt;"/>
    <w:basedOn w:val="UseCaseSection"/>
    <w:next w:val="UseCaseSection"/>
    <w:qFormat/>
    <w:rsid w:val="00c4627f"/>
    <w:pPr/>
    <w:rPr/>
  </w:style>
  <w:style w:type="paragraph" w:styleId="Flussodeglieventi" w:customStyle="1">
    <w:name w:val="&lt;$$Flusso degli eventi$$&gt;"/>
    <w:basedOn w:val="UseCaseSection"/>
    <w:next w:val="UseCaseSection"/>
    <w:qFormat/>
    <w:rsid w:val="00c4627f"/>
    <w:pPr/>
    <w:rPr/>
  </w:style>
  <w:style w:type="paragraph" w:styleId="Flussoprincipale" w:customStyle="1">
    <w:name w:val="&lt;$$Flusso principale$$&gt;"/>
    <w:basedOn w:val="UseCaseSection"/>
    <w:next w:val="UseCaseSection"/>
    <w:qFormat/>
    <w:rsid w:val="00c4627f"/>
    <w:pPr/>
    <w:rPr/>
  </w:style>
  <w:style w:type="paragraph" w:styleId="Postcondizioni" w:customStyle="1">
    <w:name w:val="&lt;$$Postcondizioni$$&gt;"/>
    <w:basedOn w:val="UseCaseSection"/>
    <w:next w:val="UseCaseSection"/>
    <w:qFormat/>
    <w:rsid w:val="00c4627f"/>
    <w:pPr/>
    <w:rPr/>
  </w:style>
  <w:style w:type="paragraph" w:styleId="Precondizioni" w:customStyle="1">
    <w:name w:val="&lt;$$Precondizioni$$&gt;"/>
    <w:basedOn w:val="UseCaseSection"/>
    <w:next w:val="UseCaseSection"/>
    <w:qFormat/>
    <w:rsid w:val="00c4627f"/>
    <w:pPr/>
    <w:rPr/>
  </w:style>
  <w:style w:type="paragraph" w:styleId="Realizzazionedelloscenario" w:customStyle="1">
    <w:name w:val="&lt;$$Realizzazione dello scenario$$&gt;"/>
    <w:basedOn w:val="UseCaseSection"/>
    <w:next w:val="UseCaseSection"/>
    <w:qFormat/>
    <w:rsid w:val="00c4627f"/>
    <w:pPr/>
    <w:rPr/>
  </w:style>
  <w:style w:type="paragraph" w:styleId="Regoleimplementativeutilizzate" w:customStyle="1">
    <w:name w:val="&lt;$$Regole implementative utilizzate$$&gt;"/>
    <w:basedOn w:val="UseCaseSection"/>
    <w:next w:val="UseCaseSection"/>
    <w:qFormat/>
    <w:rsid w:val="00c4627f"/>
    <w:pPr/>
    <w:rPr/>
  </w:style>
  <w:style w:type="paragraph" w:styleId="Requisitidisicurezzaeriservatezza" w:customStyle="1">
    <w:name w:val="&lt;$$Requisiti di sicurezza e riservatezza$$&gt;"/>
    <w:basedOn w:val="UseCaseSection"/>
    <w:next w:val="UseCaseSection"/>
    <w:qFormat/>
    <w:rsid w:val="00c4627f"/>
    <w:pPr/>
    <w:rPr/>
  </w:style>
  <w:style w:type="paragraph" w:styleId="Scenario" w:customStyle="1">
    <w:name w:val="&lt;$$Scenario$$&gt;"/>
    <w:basedOn w:val="UseCaseSection"/>
    <w:next w:val="UseCaseSection"/>
    <w:qFormat/>
    <w:rsid w:val="00c4627f"/>
    <w:pPr/>
    <w:rPr/>
  </w:style>
  <w:style w:type="paragraph" w:styleId="Scopo" w:customStyle="1">
    <w:name w:val="&lt;$$Scopo$$&gt;"/>
    <w:basedOn w:val="UseCaseSection"/>
    <w:next w:val="UseCaseSection"/>
    <w:qFormat/>
    <w:rsid w:val="00c4627f"/>
    <w:pPr/>
    <w:rPr/>
  </w:style>
  <w:style w:type="paragraph" w:styleId="TUseCaseSection" w:customStyle="1">
    <w:name w:val="T_UseCaseSection"/>
    <w:basedOn w:val="Titoletto"/>
    <w:qFormat/>
    <w:rsid w:val="00c4627f"/>
    <w:pPr/>
    <w:rPr/>
  </w:style>
  <w:style w:type="paragraph" w:styleId="TCampodiapplicazione" w:customStyle="1">
    <w:name w:val="T_&lt;$$Campo di applicazione$$&gt;"/>
    <w:basedOn w:val="TUseCaseSection"/>
    <w:next w:val="Campodiapplicazione"/>
    <w:qFormat/>
    <w:rsid w:val="00c4627f"/>
    <w:pPr/>
    <w:rPr/>
  </w:style>
  <w:style w:type="paragraph" w:styleId="TEvoluzione" w:customStyle="1">
    <w:name w:val="T_&lt;$$Evoluzione$$&gt;"/>
    <w:basedOn w:val="TUseCaseSection"/>
    <w:next w:val="Normal"/>
    <w:qFormat/>
    <w:rsid w:val="00c4627f"/>
    <w:pPr/>
    <w:rPr/>
  </w:style>
  <w:style w:type="paragraph" w:styleId="TFlussoalternativo" w:customStyle="1">
    <w:name w:val="T_&lt;$$Flusso alternativo$$&gt;"/>
    <w:basedOn w:val="TUseCaseSection"/>
    <w:next w:val="Flussoalternativo"/>
    <w:qFormat/>
    <w:rsid w:val="00c4627f"/>
    <w:pPr/>
    <w:rPr/>
  </w:style>
  <w:style w:type="paragraph" w:styleId="TFlussodeglieventi" w:customStyle="1">
    <w:name w:val="T_&lt;$$Flusso degli eventi$$&gt;"/>
    <w:basedOn w:val="TUseCaseSection"/>
    <w:next w:val="Flussodeglieventi"/>
    <w:qFormat/>
    <w:rsid w:val="00c4627f"/>
    <w:pPr/>
    <w:rPr/>
  </w:style>
  <w:style w:type="paragraph" w:styleId="TFlussoprincipale" w:customStyle="1">
    <w:name w:val="T_&lt;$$Flusso principale$$&gt;"/>
    <w:basedOn w:val="TUseCaseSection"/>
    <w:next w:val="Flussoprincipale"/>
    <w:qFormat/>
    <w:rsid w:val="00c4627f"/>
    <w:pPr/>
    <w:rPr/>
  </w:style>
  <w:style w:type="paragraph" w:styleId="TPostcondizioni" w:customStyle="1">
    <w:name w:val="T_&lt;$$Postcondizioni$$&gt;"/>
    <w:basedOn w:val="TUseCaseSection"/>
    <w:next w:val="Postcondizioni"/>
    <w:qFormat/>
    <w:rsid w:val="00c4627f"/>
    <w:pPr/>
    <w:rPr/>
  </w:style>
  <w:style w:type="paragraph" w:styleId="TPrecondizioni" w:customStyle="1">
    <w:name w:val="T_&lt;$$Precondizioni$$&gt;"/>
    <w:basedOn w:val="TUseCaseSection"/>
    <w:next w:val="Precondizioni"/>
    <w:qFormat/>
    <w:rsid w:val="00c4627f"/>
    <w:pPr/>
    <w:rPr/>
  </w:style>
  <w:style w:type="paragraph" w:styleId="TRealizzazionedelloscenario" w:customStyle="1">
    <w:name w:val="T_&lt;$$Realizzazione dello scenario$$&gt;"/>
    <w:basedOn w:val="TUseCaseSection"/>
    <w:next w:val="Realizzazionedelloscenario"/>
    <w:qFormat/>
    <w:rsid w:val="00c4627f"/>
    <w:pPr/>
    <w:rPr/>
  </w:style>
  <w:style w:type="paragraph" w:styleId="TRegoleimplementativeutilizzate" w:customStyle="1">
    <w:name w:val="T_&lt;$$Regole implementative utilizzate$$&gt;"/>
    <w:basedOn w:val="TUseCaseSection"/>
    <w:next w:val="Regoleimplementativeutilizzate"/>
    <w:qFormat/>
    <w:rsid w:val="00c4627f"/>
    <w:pPr/>
    <w:rPr/>
  </w:style>
  <w:style w:type="paragraph" w:styleId="TRequisitidisicurezzaeriservatezza" w:customStyle="1">
    <w:name w:val="T_&lt;$$Requisiti di sicurezza e riservatezza$$&gt;"/>
    <w:basedOn w:val="TUseCaseSection"/>
    <w:next w:val="Requisitidisicurezzaeriservatezza"/>
    <w:qFormat/>
    <w:rsid w:val="00c4627f"/>
    <w:pPr/>
    <w:rPr/>
  </w:style>
  <w:style w:type="paragraph" w:styleId="TRequisitinonfunzionali" w:customStyle="1">
    <w:name w:val="T_&lt;$$Requisiti non funzionali$$&gt;"/>
    <w:basedOn w:val="TUseCaseSection"/>
    <w:next w:val="Requisitidisicurezzaeriservatezza"/>
    <w:qFormat/>
    <w:rsid w:val="00c4627f"/>
    <w:pPr/>
    <w:rPr/>
  </w:style>
  <w:style w:type="paragraph" w:styleId="TScenario" w:customStyle="1">
    <w:name w:val="T_&lt;$$Scenario$$&gt;"/>
    <w:basedOn w:val="TUseCaseSection"/>
    <w:next w:val="Scenario"/>
    <w:qFormat/>
    <w:rsid w:val="00c4627f"/>
    <w:pPr/>
    <w:rPr/>
  </w:style>
  <w:style w:type="paragraph" w:styleId="TScopo" w:customStyle="1">
    <w:name w:val="T_&lt;$$Scopo$$&gt;"/>
    <w:basedOn w:val="TUseCaseSection"/>
    <w:next w:val="Scopo"/>
    <w:qFormat/>
    <w:rsid w:val="00c4627f"/>
    <w:pPr/>
    <w:rPr/>
  </w:style>
  <w:style w:type="paragraph" w:styleId="TFlussididati" w:customStyle="1">
    <w:name w:val="T_&lt;$$Flussi di dati$$&gt;"/>
    <w:basedOn w:val="TUseCaseSection"/>
    <w:next w:val="TUseCaseSection"/>
    <w:qFormat/>
    <w:rsid w:val="00c4627f"/>
    <w:pPr/>
    <w:rPr/>
  </w:style>
  <w:style w:type="paragraph" w:styleId="Flussididati" w:customStyle="1">
    <w:name w:val="&lt;$$Flussi di dati$$&gt;"/>
    <w:basedOn w:val="UseCaseSection"/>
    <w:next w:val="UseCaseSection"/>
    <w:qFormat/>
    <w:rsid w:val="00c4627f"/>
    <w:pPr/>
    <w:rPr/>
  </w:style>
  <w:style w:type="paragraph" w:styleId="BodyText2">
    <w:name w:val="Body Text 2"/>
    <w:basedOn w:val="Normal"/>
    <w:link w:val="Corpodeltesto2Carattere"/>
    <w:uiPriority w:val="99"/>
    <w:semiHidden/>
    <w:qFormat/>
    <w:rsid w:val="00c4627f"/>
    <w:pPr>
      <w:spacing w:lineRule="auto" w:line="240" w:before="0" w:after="0"/>
      <w:ind w:left="0"/>
    </w:pPr>
    <w:rPr>
      <w:sz w:val="24"/>
      <w:lang w:val="x-none" w:eastAsia="x-none"/>
    </w:rPr>
  </w:style>
  <w:style w:type="paragraph" w:styleId="TableofFigures">
    <w:name w:val="table of figures"/>
    <w:basedOn w:val="Normal"/>
    <w:next w:val="Normal"/>
    <w:semiHidden/>
    <w:rsid w:val="00c4627f"/>
    <w:pPr>
      <w:tabs>
        <w:tab w:val="clear" w:pos="720"/>
        <w:tab w:val="right" w:pos="7944" w:leader="dot"/>
      </w:tabs>
      <w:ind w:hanging="403" w:left="403"/>
    </w:pPr>
    <w:rPr/>
  </w:style>
  <w:style w:type="paragraph" w:styleId="InfoBlue" w:customStyle="1">
    <w:name w:val="InfoBlue"/>
    <w:basedOn w:val="Normal"/>
    <w:next w:val="Normal"/>
    <w:autoRedefine/>
    <w:qFormat/>
    <w:rsid w:val="00c4627f"/>
    <w:pPr>
      <w:widowControl w:val="false"/>
      <w:spacing w:lineRule="atLeast" w:line="240" w:before="0" w:after="120"/>
      <w:ind w:left="720"/>
    </w:pPr>
    <w:rPr>
      <w:i/>
      <w:color w:val="0000FF"/>
      <w:lang w:val="en-US"/>
    </w:rPr>
  </w:style>
  <w:style w:type="paragraph" w:styleId="infoblue1" w:customStyle="1">
    <w:name w:val="infoblue1"/>
    <w:basedOn w:val="Normal"/>
    <w:qFormat/>
    <w:rsid w:val="00c4627f"/>
    <w:pPr>
      <w:spacing w:lineRule="atLeast" w:line="240" w:before="0" w:after="120"/>
      <w:ind w:left="720"/>
    </w:pPr>
    <w:rPr>
      <w:rFonts w:eastAsia="Arial Unicode MS"/>
      <w:i/>
      <w:iCs/>
      <w:color w:val="0000FF"/>
    </w:rPr>
  </w:style>
  <w:style w:type="paragraph" w:styleId="Paragraph2" w:customStyle="1">
    <w:name w:val="Paragraph2"/>
    <w:basedOn w:val="Normal"/>
    <w:qFormat/>
    <w:rsid w:val="00c4627f"/>
    <w:pPr>
      <w:keepLines w:val="false"/>
      <w:widowControl w:val="false"/>
      <w:spacing w:lineRule="atLeast" w:line="240" w:before="80" w:after="0"/>
      <w:ind w:left="720"/>
      <w:jc w:val="both"/>
    </w:pPr>
    <w:rPr>
      <w:color w:val="000000"/>
      <w:lang w:val="en-AU"/>
    </w:rPr>
  </w:style>
  <w:style w:type="paragraph" w:styleId="Titol3senzanum" w:customStyle="1">
    <w:name w:val="Titol3senzanum"/>
    <w:basedOn w:val="Heading3"/>
    <w:next w:val="Normal"/>
    <w:qFormat/>
    <w:rsid w:val="00c4627f"/>
    <w:pPr>
      <w:numPr>
        <w:ilvl w:val="2"/>
        <w:numId w:val="1"/>
      </w:numPr>
      <w:ind w:hanging="851" w:left="851"/>
      <w:outlineLvl w:val="9"/>
    </w:pPr>
    <w:rPr/>
  </w:style>
  <w:style w:type="paragraph" w:styleId="FootnoteText">
    <w:name w:val="footnote text"/>
    <w:basedOn w:val="Normal"/>
    <w:link w:val="TestonotaapidipaginaCarattere"/>
    <w:uiPriority w:val="99"/>
    <w:rsid w:val="00c4627f"/>
    <w:pPr/>
    <w:rPr/>
  </w:style>
  <w:style w:type="paragraph" w:styleId="HTMLPreformatted">
    <w:name w:val="HTML Preformatted"/>
    <w:basedOn w:val="Normal"/>
    <w:link w:val="PreformattatoHTMLCarattere"/>
    <w:uiPriority w:val="99"/>
    <w:qFormat/>
    <w:rsid w:val="00c4627f"/>
    <w:pPr>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pPr>
    <w:rPr>
      <w:rFonts w:ascii="Arial Unicode MS" w:hAnsi="Arial Unicode MS" w:eastAsia="Arial Unicode MS"/>
      <w:lang w:val="x-none" w:eastAsia="x-none"/>
    </w:rPr>
  </w:style>
  <w:style w:type="paragraph" w:styleId="PlainText">
    <w:name w:val="Plain Text"/>
    <w:basedOn w:val="Normal"/>
    <w:semiHidden/>
    <w:qFormat/>
    <w:rsid w:val="00c4627f"/>
    <w:pPr>
      <w:keepLines w:val="false"/>
      <w:spacing w:lineRule="auto" w:line="240" w:before="0" w:after="0"/>
      <w:ind w:left="0"/>
    </w:pPr>
    <w:rPr>
      <w:rFonts w:ascii="Courier New" w:hAnsi="Courier New" w:cs="Courier New"/>
    </w:rPr>
  </w:style>
  <w:style w:type="paragraph" w:styleId="BalloonText">
    <w:name w:val="Balloon Text"/>
    <w:basedOn w:val="Normal"/>
    <w:link w:val="TestofumettoCarattere"/>
    <w:uiPriority w:val="99"/>
    <w:qFormat/>
    <w:rsid w:val="00c4627f"/>
    <w:pPr>
      <w:spacing w:lineRule="auto" w:line="240" w:before="0" w:after="0"/>
    </w:pPr>
    <w:rPr>
      <w:rFonts w:ascii="Tahoma" w:hAnsi="Tahoma"/>
      <w:sz w:val="16"/>
      <w:szCs w:val="16"/>
      <w:lang w:val="x-none" w:eastAsia="x-none"/>
    </w:rPr>
  </w:style>
  <w:style w:type="paragraph" w:styleId="annotationsubject">
    <w:name w:val="annotation subject"/>
    <w:basedOn w:val="CommentText"/>
    <w:next w:val="CommentText"/>
    <w:semiHidden/>
    <w:qFormat/>
    <w:rsid w:val="00c4627f"/>
    <w:pPr>
      <w:keepLines/>
      <w:spacing w:lineRule="atLeast" w:line="280" w:before="120" w:after="0"/>
      <w:ind w:left="851"/>
    </w:pPr>
    <w:rPr>
      <w:b/>
      <w:bCs/>
      <w:sz w:val="20"/>
    </w:rPr>
  </w:style>
  <w:style w:type="paragraph" w:styleId="ColonnaTabella" w:customStyle="1">
    <w:name w:val="ColonnaTabella"/>
    <w:basedOn w:val="Normal"/>
    <w:qFormat/>
    <w:rsid w:val="00c4627f"/>
    <w:pPr>
      <w:keepLines w:val="false"/>
      <w:spacing w:lineRule="auto" w:line="240"/>
      <w:ind w:left="0"/>
    </w:pPr>
    <w:rPr/>
  </w:style>
  <w:style w:type="paragraph" w:styleId="Stile10ptAllineatoasinistraSinistro005cm" w:customStyle="1">
    <w:name w:val="Stile 10 pt Allineato a sinistra Sinistro:  005 cm"/>
    <w:basedOn w:val="Normal"/>
    <w:qFormat/>
    <w:rsid w:val="00c4627f"/>
    <w:pPr>
      <w:keepLines w:val="false"/>
      <w:spacing w:lineRule="auto" w:line="240"/>
      <w:ind w:left="28"/>
    </w:pPr>
    <w:rPr/>
  </w:style>
  <w:style w:type="paragraph" w:styleId="ListBullet5">
    <w:name w:val="List Bullet 5"/>
    <w:basedOn w:val="Normal"/>
    <w:semiHidden/>
    <w:rsid w:val="00c4627f"/>
    <w:pPr>
      <w:keepLines w:val="false"/>
      <w:numPr>
        <w:ilvl w:val="0"/>
        <w:numId w:val="5"/>
      </w:numPr>
      <w:spacing w:lineRule="auto" w:line="240"/>
      <w:jc w:val="both"/>
    </w:pPr>
    <w:rPr>
      <w:szCs w:val="22"/>
    </w:rPr>
  </w:style>
  <w:style w:type="paragraph" w:styleId="StileCourierNew8ptNeroSinistro0cmprima0pt" w:customStyle="1">
    <w:name w:val="Stile Courier New 8 pt Nero Sinistro:  0 cm prima 0 pt"/>
    <w:basedOn w:val="Normal"/>
    <w:qFormat/>
    <w:rsid w:val="00c4627f"/>
    <w:pPr>
      <w:spacing w:before="0" w:after="0"/>
      <w:ind w:left="0"/>
    </w:pPr>
    <w:rPr>
      <w:rFonts w:ascii="Courier New" w:hAnsi="Courier New"/>
      <w:color w:val="000000"/>
      <w:sz w:val="18"/>
    </w:rPr>
  </w:style>
  <w:style w:type="paragraph" w:styleId="DocumentMap">
    <w:name w:val="Document Map"/>
    <w:basedOn w:val="Normal"/>
    <w:link w:val="MappadocumentoCarattere"/>
    <w:uiPriority w:val="99"/>
    <w:semiHidden/>
    <w:qFormat/>
    <w:rsid w:val="00c4627f"/>
    <w:pPr>
      <w:shd w:val="clear" w:color="auto" w:fill="000080"/>
    </w:pPr>
    <w:rPr>
      <w:rFonts w:ascii="Tahoma" w:hAnsi="Tahoma"/>
      <w:lang w:val="x-none" w:eastAsia="x-none"/>
    </w:rPr>
  </w:style>
  <w:style w:type="paragraph" w:styleId="BlockText">
    <w:name w:val="Block Text"/>
    <w:basedOn w:val="Normal"/>
    <w:semiHidden/>
    <w:qFormat/>
    <w:rsid w:val="006835f4"/>
    <w:pPr>
      <w:ind w:right="639"/>
    </w:pPr>
    <w:rPr/>
  </w:style>
  <w:style w:type="paragraph" w:styleId="NormalWeb">
    <w:name w:val="Normal (Web)"/>
    <w:basedOn w:val="Normal"/>
    <w:uiPriority w:val="99"/>
    <w:semiHidden/>
    <w:unhideWhenUsed/>
    <w:qFormat/>
    <w:rsid w:val="007a5173"/>
    <w:pPr>
      <w:keepLines w:val="false"/>
      <w:spacing w:lineRule="auto" w:line="240" w:beforeAutospacing="1" w:afterAutospacing="1"/>
      <w:ind w:left="0"/>
    </w:pPr>
    <w:rPr>
      <w:color w:val="000000"/>
      <w:sz w:val="24"/>
      <w:szCs w:val="24"/>
    </w:rPr>
  </w:style>
  <w:style w:type="paragraph" w:styleId="ListParagraph">
    <w:name w:val="List Paragraph"/>
    <w:basedOn w:val="Normal"/>
    <w:qFormat/>
    <w:rsid w:val="00746349"/>
    <w:pPr>
      <w:keepLines w:val="false"/>
      <w:spacing w:lineRule="auto" w:line="276" w:before="0" w:after="200"/>
      <w:ind w:left="720"/>
      <w:contextualSpacing/>
    </w:pPr>
    <w:rPr>
      <w:rFonts w:ascii="Calibri" w:hAnsi="Calibri" w:eastAsia="Calibri"/>
      <w:sz w:val="22"/>
      <w:szCs w:val="22"/>
      <w:lang w:eastAsia="en-US"/>
    </w:rPr>
  </w:style>
  <w:style w:type="paragraph" w:styleId="Codice" w:customStyle="1">
    <w:name w:val="Codice"/>
    <w:basedOn w:val="Normal"/>
    <w:link w:val="CodiceCarattere"/>
    <w:qFormat/>
    <w:rsid w:val="00737490"/>
    <w:pPr>
      <w:keepLines w:val="false"/>
      <w:spacing w:lineRule="auto" w:line="276" w:before="0" w:after="200"/>
      <w:ind w:left="0"/>
    </w:pPr>
    <w:rPr>
      <w:rFonts w:ascii="Courier New" w:hAnsi="Courier New" w:eastAsia="Calibri"/>
      <w:lang w:val="x-none" w:eastAsia="en-US"/>
    </w:rPr>
  </w:style>
  <w:style w:type="paragraph" w:styleId="Default" w:customStyle="1">
    <w:name w:val="Default"/>
    <w:qFormat/>
    <w:rsid w:val="00db7387"/>
    <w:pPr>
      <w:widowControl/>
      <w:suppressAutoHyphens w:val="true"/>
      <w:bidi w:val="0"/>
      <w:spacing w:before="0" w:after="0"/>
      <w:jc w:val="left"/>
    </w:pPr>
    <w:rPr>
      <w:rFonts w:ascii="Times New Roman" w:hAnsi="Times New Roman" w:eastAsia="Calibri" w:cs="Times New Roman"/>
      <w:color w:val="000000"/>
      <w:kern w:val="0"/>
      <w:sz w:val="24"/>
      <w:szCs w:val="24"/>
      <w:lang w:val="it-IT" w:eastAsia="en-US" w:bidi="ar-SA"/>
    </w:rPr>
  </w:style>
  <w:style w:type="paragraph" w:styleId="TOCHeading">
    <w:name w:val="TOC Heading"/>
    <w:basedOn w:val="Heading1"/>
    <w:next w:val="Normal"/>
    <w:uiPriority w:val="39"/>
    <w:unhideWhenUsed/>
    <w:qFormat/>
    <w:rsid w:val="003e42b9"/>
    <w:pPr>
      <w:numPr>
        <w:ilvl w:val="0"/>
        <w:numId w:val="0"/>
      </w:numPr>
      <w:spacing w:lineRule="auto" w:line="276" w:before="480" w:after="0"/>
      <w:ind w:left="851"/>
      <w:outlineLvl w:val="9"/>
    </w:pPr>
    <w:rPr>
      <w:rFonts w:ascii="Cambria" w:hAnsi="Cambria"/>
      <w:bCs/>
      <w:color w:val="365F91"/>
      <w:szCs w:val="28"/>
    </w:rPr>
  </w:style>
  <w:style w:type="paragraph" w:styleId="NoSpacing">
    <w:name w:val="No Spacing"/>
    <w:uiPriority w:val="1"/>
    <w:qFormat/>
    <w:rsid w:val="003e42b9"/>
    <w:pPr>
      <w:widowControl/>
      <w:suppressAutoHyphens w:val="true"/>
      <w:bidi w:val="0"/>
      <w:spacing w:before="0" w:after="0"/>
      <w:jc w:val="left"/>
    </w:pPr>
    <w:rPr>
      <w:rFonts w:ascii="Calibri" w:hAnsi="Calibri" w:eastAsia="Calibri" w:cs="Times New Roman"/>
      <w:color w:val="auto"/>
      <w:kern w:val="0"/>
      <w:sz w:val="22"/>
      <w:szCs w:val="22"/>
      <w:lang w:val="it-IT" w:eastAsia="en-US" w:bidi="ar-SA"/>
    </w:rPr>
  </w:style>
  <w:style w:type="paragraph" w:styleId="Contenutotabella" w:customStyle="1">
    <w:name w:val="Contenuto tabella"/>
    <w:basedOn w:val="Normal"/>
    <w:qFormat/>
    <w:rsid w:val="00c04cb1"/>
    <w:pPr>
      <w:keepLines w:val="false"/>
      <w:widowControl w:val="false"/>
      <w:suppressLineNumbers/>
      <w:spacing w:lineRule="auto" w:line="240" w:before="0" w:after="0"/>
      <w:ind w:left="0"/>
    </w:pPr>
    <w:rPr>
      <w:rFonts w:eastAsia="Lucida Sans Unicode" w:cs="Tahoma"/>
      <w:color w:val="000000"/>
      <w:sz w:val="24"/>
      <w:szCs w:val="24"/>
      <w:lang w:eastAsia="en-US" w:bidi="en-US"/>
    </w:rPr>
  </w:style>
  <w:style w:type="paragraph" w:styleId="1" w:customStyle="1">
    <w:name w:val="1"/>
    <w:basedOn w:val="Normal"/>
    <w:link w:val="CorpotestoCarattere"/>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val="x-none" w:eastAsia="en-US" w:bidi="en-US"/>
    </w:rPr>
  </w:style>
  <w:style w:type="paragraph" w:styleId="Standard" w:customStyle="1">
    <w:name w:val="Standard"/>
    <w:qFormat/>
    <w:rsid w:val="00c04cb1"/>
    <w:pPr>
      <w:widowControl w:val="false"/>
      <w:suppressAutoHyphens w:val="true"/>
      <w:bidi w:val="0"/>
      <w:spacing w:before="0" w:after="0"/>
      <w:jc w:val="left"/>
      <w:textAlignment w:val="baseline"/>
    </w:pPr>
    <w:rPr>
      <w:rFonts w:ascii="Times New Roman" w:hAnsi="Times New Roman" w:eastAsia="Andale Sans UI" w:cs="Tahoma"/>
      <w:color w:val="auto"/>
      <w:kern w:val="2"/>
      <w:sz w:val="24"/>
      <w:szCs w:val="24"/>
      <w:lang w:val="de-DE" w:eastAsia="ja-JP" w:bidi="fa-IR"/>
    </w:rPr>
  </w:style>
  <w:style w:type="paragraph" w:styleId="Testopreformattatouser" w:customStyle="1">
    <w:name w:val="Testo preformattato (user)"/>
    <w:basedOn w:val="Standard"/>
    <w:qFormat/>
    <w:rsid w:val="00c04cb1"/>
    <w:pPr/>
    <w:rPr>
      <w:rFonts w:ascii="Courier New" w:hAnsi="Courier New" w:eastAsia="MS PGothic" w:cs="Courier New"/>
      <w:sz w:val="20"/>
      <w:szCs w:val="20"/>
    </w:rPr>
  </w:style>
  <w:style w:type="paragraph" w:styleId="EndnoteText">
    <w:name w:val="endnote text"/>
    <w:basedOn w:val="Normal"/>
    <w:link w:val="TestonotadichiusuraCarattere"/>
    <w:uiPriority w:val="99"/>
    <w:semiHidden/>
    <w:unhideWhenUsed/>
    <w:rsid w:val="007b4b25"/>
    <w:pPr>
      <w:spacing w:lineRule="auto" w:line="240" w:before="0" w:after="0"/>
    </w:pPr>
    <w:rPr/>
  </w:style>
  <w:style w:type="paragraph" w:styleId="Revision">
    <w:name w:val="Revision"/>
    <w:uiPriority w:val="99"/>
    <w:semiHidden/>
    <w:qFormat/>
    <w:rsid w:val="00675087"/>
    <w:pPr>
      <w:widowControl/>
      <w:suppressAutoHyphens w:val="true"/>
      <w:bidi w:val="0"/>
      <w:spacing w:before="0" w:after="0"/>
      <w:jc w:val="left"/>
    </w:pPr>
    <w:rPr>
      <w:rFonts w:ascii="Times New Roman" w:hAnsi="Times New Roman" w:eastAsia="Times New Roman" w:cs="Times New Roman"/>
      <w:color w:val="auto"/>
      <w:kern w:val="0"/>
      <w:sz w:val="20"/>
      <w:szCs w:val="20"/>
      <w:lang w:val="it-IT" w:eastAsia="it-IT" w:bidi="ar-SA"/>
    </w:rPr>
  </w:style>
  <w:style w:type="paragraph" w:styleId="Corpotesto1" w:customStyle="1">
    <w:name w:val="Corpo testo1"/>
    <w:basedOn w:val="Normal"/>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eastAsia="en-US" w:bidi="en-US"/>
    </w:rPr>
  </w:style>
  <w:style w:type="paragraph" w:styleId="FrameContents" w:customStyle="1">
    <w:name w:val="Frame Contents"/>
    <w:basedOn w:val="Normal"/>
    <w:qFormat/>
    <w:pPr/>
    <w:rPr/>
  </w:style>
  <w:style w:type="paragraph" w:styleId="Contenutocorniceuser">
    <w:name w:val="Contenuto cornice (user)"/>
    <w:basedOn w:val="Normal"/>
    <w:qFormat/>
    <w:pPr/>
    <w:rPr/>
  </w:style>
  <w:style w:type="paragraph" w:styleId="Contenutocornice">
    <w:name w:val="Contenuto cornice"/>
    <w:basedOn w:val="Normal"/>
    <w:qFormat/>
    <w:pPr/>
    <w:rPr/>
  </w:style>
  <w:style w:type="numbering" w:styleId="Nessunelencouser" w:default="1">
    <w:name w:val="Nessun elenco (user)"/>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styleId="Grigliatabella">
    <w:name w:val="Table Grid"/>
    <w:basedOn w:val="Tabellanormale"/>
    <w:uiPriority w:val="59"/>
    <w:rsid w:val="008205f6"/>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Stile1">
    <w:name w:val="Stile1"/>
    <w:basedOn w:val="Elencochiaro1"/>
    <w:uiPriority w:val="99"/>
    <w:rsid w:val="00c04cb1"/>
    <w:rPr>
      <w:lang w:val="en-US" w:eastAsia="it-IT"/>
      <w:sz w:val="16"/>
    </w:r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customStyle="1" w:styleId="Elencochiaro1">
    <w:name w:val="Elenco chiaro1"/>
    <w:basedOn w:val="Tabellanormale"/>
    <w:uiPriority w:val="61"/>
    <w:rsid w:val="00c04cb1"/>
    <w:rPr>
      <w:lang w:eastAsia="en-US"/>
      <w:sz w:val="22"/>
      <w:szCs w:val="22"/>
    </w:rPr>
    <w:tblPr>
      <w:tblStyleRowBandSize w:val="1"/>
      <w:tblStyleColBandSize w:val="1"/>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hyperlink" Target="http://en.wikipedia.org/wiki/Open-source" TargetMode="External"/><Relationship Id="rId5" Type="http://schemas.openxmlformats.org/officeDocument/2006/relationships/hyperlink" Target="http://it.wikipedia.org/wiki/Framework" TargetMode="External"/><Relationship Id="rId6" Type="http://schemas.openxmlformats.org/officeDocument/2006/relationships/hyperlink" Target="http://it.wikipedia.org/wiki/Rete_di_computer" TargetMode="External"/><Relationship Id="rId7" Type="http://schemas.openxmlformats.org/officeDocument/2006/relationships/hyperlink" Target="http://it.wikipedia.org/wiki/Richiamo_di_procedura_remota" TargetMode="External"/><Relationship Id="rId8" Type="http://schemas.openxmlformats.org/officeDocument/2006/relationships/hyperlink" Target="http://lnx05svim:9090/PDD-ASL/AAGCService?wsdl" TargetMode="External"/><Relationship Id="rId9" Type="http://schemas.openxmlformats.org/officeDocument/2006/relationships/hyperlink" Target="http://lnx05svim:9090/PDD-ASL/AAGCService?wsdl" TargetMode="External"/><Relationship Id="rId10" Type="http://schemas.openxmlformats.org/officeDocument/2006/relationships/hyperlink" Target="http://lnx05svim:9090/PDD-ASL/AAGCService?wsdl" TargetMode="External"/><Relationship Id="rId11" Type="http://schemas.openxmlformats.org/officeDocument/2006/relationships/image" Target="media/image3.png"/><Relationship Id="rId12" Type="http://schemas.openxmlformats.org/officeDocument/2006/relationships/image" Target="media/image3.pn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header" Target="header3.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oter" Target="footer3.xml"/><Relationship Id="rId19" Type="http://schemas.openxmlformats.org/officeDocument/2006/relationships/image" Target="media/image4.wmf"/><Relationship Id="rId20" Type="http://schemas.openxmlformats.org/officeDocument/2006/relationships/header" Target="header4.xml"/><Relationship Id="rId21" Type="http://schemas.openxmlformats.org/officeDocument/2006/relationships/header" Target="header5.xml"/><Relationship Id="rId22" Type="http://schemas.openxmlformats.org/officeDocument/2006/relationships/header" Target="header6.xml"/><Relationship Id="rId23" Type="http://schemas.openxmlformats.org/officeDocument/2006/relationships/footer" Target="footer4.xml"/><Relationship Id="rId24" Type="http://schemas.openxmlformats.org/officeDocument/2006/relationships/footer" Target="footer5.xml"/><Relationship Id="rId25" Type="http://schemas.openxmlformats.org/officeDocument/2006/relationships/footer" Target="footer6.xml"/><Relationship Id="rId26" Type="http://schemas.openxmlformats.org/officeDocument/2006/relationships/image" Target="media/image5.wmf"/><Relationship Id="rId27" Type="http://schemas.openxmlformats.org/officeDocument/2006/relationships/image" Target="media/image6.wmf"/><Relationship Id="rId28" Type="http://schemas.openxmlformats.org/officeDocument/2006/relationships/image" Target="media/image7.wmf"/><Relationship Id="rId29" Type="http://schemas.openxmlformats.org/officeDocument/2006/relationships/image" Target="media/image8.wmf"/><Relationship Id="rId30" Type="http://schemas.openxmlformats.org/officeDocument/2006/relationships/image" Target="media/image9.wmf"/><Relationship Id="rId31" Type="http://schemas.openxmlformats.org/officeDocument/2006/relationships/image" Target="media/image10.wmf"/><Relationship Id="rId32" Type="http://schemas.openxmlformats.org/officeDocument/2006/relationships/image" Target="media/image11.wmf"/><Relationship Id="rId33" Type="http://schemas.openxmlformats.org/officeDocument/2006/relationships/image" Target="media/image12.wmf"/><Relationship Id="rId34" Type="http://schemas.openxmlformats.org/officeDocument/2006/relationships/image" Target="media/image13.wmf"/><Relationship Id="rId35" Type="http://schemas.openxmlformats.org/officeDocument/2006/relationships/header" Target="header7.xml"/><Relationship Id="rId36" Type="http://schemas.openxmlformats.org/officeDocument/2006/relationships/header" Target="header8.xml"/><Relationship Id="rId37" Type="http://schemas.openxmlformats.org/officeDocument/2006/relationships/header" Target="header9.xml"/><Relationship Id="rId38" Type="http://schemas.openxmlformats.org/officeDocument/2006/relationships/footer" Target="footer7.xml"/><Relationship Id="rId39" Type="http://schemas.openxmlformats.org/officeDocument/2006/relationships/footer" Target="footer8.xml"/><Relationship Id="rId40" Type="http://schemas.openxmlformats.org/officeDocument/2006/relationships/footer" Target="footer9.xml"/><Relationship Id="rId41" Type="http://schemas.openxmlformats.org/officeDocument/2006/relationships/image" Target="media/image14.wmf"/><Relationship Id="rId42" Type="http://schemas.openxmlformats.org/officeDocument/2006/relationships/header" Target="header10.xml"/><Relationship Id="rId43" Type="http://schemas.openxmlformats.org/officeDocument/2006/relationships/header" Target="header11.xml"/><Relationship Id="rId44" Type="http://schemas.openxmlformats.org/officeDocument/2006/relationships/header" Target="header12.xml"/><Relationship Id="rId45" Type="http://schemas.openxmlformats.org/officeDocument/2006/relationships/footer" Target="footer10.xml"/><Relationship Id="rId46" Type="http://schemas.openxmlformats.org/officeDocument/2006/relationships/footer" Target="footer11.xml"/><Relationship Id="rId47" Type="http://schemas.openxmlformats.org/officeDocument/2006/relationships/footer" Target="footer12.xml"/><Relationship Id="rId48" Type="http://schemas.openxmlformats.org/officeDocument/2006/relationships/header" Target="header13.xml"/><Relationship Id="rId49" Type="http://schemas.openxmlformats.org/officeDocument/2006/relationships/header" Target="header14.xml"/><Relationship Id="rId50" Type="http://schemas.openxmlformats.org/officeDocument/2006/relationships/header" Target="header15.xml"/><Relationship Id="rId51" Type="http://schemas.openxmlformats.org/officeDocument/2006/relationships/footer" Target="footer13.xml"/><Relationship Id="rId52" Type="http://schemas.openxmlformats.org/officeDocument/2006/relationships/footer" Target="footer14.xml"/><Relationship Id="rId53" Type="http://schemas.openxmlformats.org/officeDocument/2006/relationships/footer" Target="footer15.xml"/><Relationship Id="rId54" Type="http://schemas.openxmlformats.org/officeDocument/2006/relationships/image" Target="media/image15.wmf"/><Relationship Id="rId55" Type="http://schemas.openxmlformats.org/officeDocument/2006/relationships/header" Target="header16.xml"/><Relationship Id="rId56" Type="http://schemas.openxmlformats.org/officeDocument/2006/relationships/header" Target="header17.xml"/><Relationship Id="rId57" Type="http://schemas.openxmlformats.org/officeDocument/2006/relationships/header" Target="header18.xml"/><Relationship Id="rId58" Type="http://schemas.openxmlformats.org/officeDocument/2006/relationships/footer" Target="footer16.xml"/><Relationship Id="rId59" Type="http://schemas.openxmlformats.org/officeDocument/2006/relationships/footer" Target="footer17.xml"/><Relationship Id="rId60" Type="http://schemas.openxmlformats.org/officeDocument/2006/relationships/footer" Target="footer18.xml"/><Relationship Id="rId61" Type="http://schemas.openxmlformats.org/officeDocument/2006/relationships/header" Target="header19.xml"/><Relationship Id="rId62" Type="http://schemas.openxmlformats.org/officeDocument/2006/relationships/header" Target="header20.xml"/><Relationship Id="rId63" Type="http://schemas.openxmlformats.org/officeDocument/2006/relationships/header" Target="header21.xml"/><Relationship Id="rId64" Type="http://schemas.openxmlformats.org/officeDocument/2006/relationships/footer" Target="footer19.xml"/><Relationship Id="rId65" Type="http://schemas.openxmlformats.org/officeDocument/2006/relationships/footer" Target="footer20.xml"/><Relationship Id="rId66" Type="http://schemas.openxmlformats.org/officeDocument/2006/relationships/footer" Target="footer21.xml"/><Relationship Id="rId67" Type="http://schemas.openxmlformats.org/officeDocument/2006/relationships/image" Target="media/image16.wmf"/><Relationship Id="rId68" Type="http://schemas.openxmlformats.org/officeDocument/2006/relationships/header" Target="header22.xml"/><Relationship Id="rId69" Type="http://schemas.openxmlformats.org/officeDocument/2006/relationships/header" Target="header23.xml"/><Relationship Id="rId70" Type="http://schemas.openxmlformats.org/officeDocument/2006/relationships/header" Target="header24.xml"/><Relationship Id="rId71" Type="http://schemas.openxmlformats.org/officeDocument/2006/relationships/footer" Target="footer22.xml"/><Relationship Id="rId72" Type="http://schemas.openxmlformats.org/officeDocument/2006/relationships/footer" Target="footer23.xml"/><Relationship Id="rId73" Type="http://schemas.openxmlformats.org/officeDocument/2006/relationships/footer" Target="footer24.xml"/><Relationship Id="rId74" Type="http://schemas.openxmlformats.org/officeDocument/2006/relationships/image" Target="media/image17.wmf"/><Relationship Id="rId75" Type="http://schemas.openxmlformats.org/officeDocument/2006/relationships/image" Target="media/image18.wmf"/><Relationship Id="rId76" Type="http://schemas.openxmlformats.org/officeDocument/2006/relationships/image" Target="media/image19.wmf"/><Relationship Id="rId77" Type="http://schemas.openxmlformats.org/officeDocument/2006/relationships/image" Target="media/image20.wmf"/><Relationship Id="rId78" Type="http://schemas.openxmlformats.org/officeDocument/2006/relationships/image" Target="media/image21.wmf"/><Relationship Id="rId79" Type="http://schemas.openxmlformats.org/officeDocument/2006/relationships/image" Target="media/image22.png"/><Relationship Id="rId80" Type="http://schemas.openxmlformats.org/officeDocument/2006/relationships/image" Target="media/image23.wmf"/><Relationship Id="rId81" Type="http://schemas.openxmlformats.org/officeDocument/2006/relationships/image" Target="media/image24.png"/><Relationship Id="rId82" Type="http://schemas.openxmlformats.org/officeDocument/2006/relationships/image" Target="media/image25.wmf"/><Relationship Id="rId83" Type="http://schemas.openxmlformats.org/officeDocument/2006/relationships/image" Target="media/image26.png"/><Relationship Id="rId84" Type="http://schemas.openxmlformats.org/officeDocument/2006/relationships/image" Target="media/image27.wmf"/><Relationship Id="rId85" Type="http://schemas.openxmlformats.org/officeDocument/2006/relationships/image" Target="media/image28.wmf"/><Relationship Id="rId86" Type="http://schemas.openxmlformats.org/officeDocument/2006/relationships/image" Target="media/image29.wmf"/><Relationship Id="rId87" Type="http://schemas.openxmlformats.org/officeDocument/2006/relationships/image" Target="media/image30.wmf"/><Relationship Id="rId88" Type="http://schemas.openxmlformats.org/officeDocument/2006/relationships/image" Target="media/image31.wmf"/><Relationship Id="rId89" Type="http://schemas.openxmlformats.org/officeDocument/2006/relationships/image" Target="media/image32.wmf"/><Relationship Id="rId90" Type="http://schemas.openxmlformats.org/officeDocument/2006/relationships/image" Target="media/image33.wmf"/><Relationship Id="rId91" Type="http://schemas.openxmlformats.org/officeDocument/2006/relationships/image" Target="media/image34.wmf"/><Relationship Id="rId92" Type="http://schemas.openxmlformats.org/officeDocument/2006/relationships/image" Target="media/image35.wmf"/><Relationship Id="rId93" Type="http://schemas.openxmlformats.org/officeDocument/2006/relationships/image" Target="media/image36.wmf"/><Relationship Id="rId94" Type="http://schemas.openxmlformats.org/officeDocument/2006/relationships/image" Target="media/image37.wmf"/><Relationship Id="rId95" Type="http://schemas.openxmlformats.org/officeDocument/2006/relationships/image" Target="media/image38.wmf"/><Relationship Id="rId96" Type="http://schemas.openxmlformats.org/officeDocument/2006/relationships/header" Target="header25.xml"/><Relationship Id="rId97" Type="http://schemas.openxmlformats.org/officeDocument/2006/relationships/header" Target="header26.xml"/><Relationship Id="rId98" Type="http://schemas.openxmlformats.org/officeDocument/2006/relationships/header" Target="header27.xml"/><Relationship Id="rId99" Type="http://schemas.openxmlformats.org/officeDocument/2006/relationships/footer" Target="footer25.xml"/><Relationship Id="rId100" Type="http://schemas.openxmlformats.org/officeDocument/2006/relationships/footer" Target="footer26.xml"/><Relationship Id="rId101" Type="http://schemas.openxmlformats.org/officeDocument/2006/relationships/footer" Target="footer27.xml"/><Relationship Id="rId102" Type="http://schemas.openxmlformats.org/officeDocument/2006/relationships/footnotes" Target="footnotes.xml"/><Relationship Id="rId103" Type="http://schemas.openxmlformats.org/officeDocument/2006/relationships/numbering" Target="numbering.xml"/><Relationship Id="rId104" Type="http://schemas.openxmlformats.org/officeDocument/2006/relationships/fontTable" Target="fontTable.xml"/><Relationship Id="rId105" Type="http://schemas.openxmlformats.org/officeDocument/2006/relationships/settings" Target="settings.xml"/><Relationship Id="rId106" Type="http://schemas.openxmlformats.org/officeDocument/2006/relationships/theme" Target="theme/theme1.xml"/><Relationship Id="rId107" Type="http://schemas.openxmlformats.org/officeDocument/2006/relationships/customXml" Target="../customXml/item1.xml"/><Relationship Id="rId108" Type="http://schemas.openxmlformats.org/officeDocument/2006/relationships/customXml" Target="../customXml/item2.xml"/><Relationship Id="rId109" Type="http://schemas.openxmlformats.org/officeDocument/2006/relationships/customXml" Target="../customXml/item3.xml"/><Relationship Id="rId110" Type="http://schemas.openxmlformats.org/officeDocument/2006/relationships/customXml" Target="../customXml/item4.xml"/><Relationship Id="rId111" Type="http://schemas.openxmlformats.org/officeDocument/2006/relationships/customXml" Target="../customXml/item5.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_rels/item5.xml.rels><?xml version="1.0" encoding="UTF-8"?>
<Relationships xmlns="http://schemas.openxmlformats.org/package/2006/relationships"><Relationship Id="rId1" Type="http://schemas.openxmlformats.org/officeDocument/2006/relationships/customXmlProps" Target="itemProps5.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Application>LibreOffice/25.2.4.3$Windows_X86_64 LibreOffice_project/33e196637044ead23f5c3226cde09b47731f7e27</Application>
  <AppVersion>15.0000</AppVersion>
  <Pages>223</Pages>
  <Words>33133</Words>
  <Characters>384697</Characters>
  <CharactersWithSpaces>411150</CharactersWithSpaces>
  <Paragraphs>7577</Paragraphs>
  <Company>Hewlett-Packard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2024-02-19T17:09:00Z</dcterms:created>
  <dc:creator>Vito Caleandro</dc:creator>
  <dc:description/>
  <dc:language>it-IT</dc:language>
  <cp:lastModifiedBy/>
  <cp:lastPrinted>2014-04-30T21:01:00Z</cp:lastPrinted>
  <dcterms:modified xsi:type="dcterms:W3CDTF">2025-07-14T10:58:01Z</dcterms:modified>
  <cp:revision>138</cp:revision>
  <dc:subject/>
  <dc:title>SoDA Template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